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01DF1E" w14:textId="408ED950" w:rsidR="002A7510" w:rsidRPr="000C70A8" w:rsidRDefault="002A7510" w:rsidP="002A7510">
      <w:pPr>
        <w:spacing w:after="200" w:line="276" w:lineRule="auto"/>
        <w:jc w:val="center"/>
        <w:rPr>
          <w:b/>
          <w:caps/>
        </w:rPr>
      </w:pPr>
      <w:bookmarkStart w:id="0" w:name="_Toc456632030"/>
      <w:bookmarkStart w:id="1" w:name="_Toc461452546"/>
      <w:bookmarkStart w:id="2" w:name="_Toc423946121"/>
      <w:bookmarkStart w:id="3" w:name="_Toc421797924"/>
      <w:bookmarkStart w:id="4" w:name="_Toc423946128"/>
      <w:bookmarkStart w:id="5" w:name="_Toc461452553"/>
      <w:bookmarkStart w:id="6" w:name="_GoBack"/>
      <w:bookmarkEnd w:id="6"/>
      <w:r w:rsidRPr="000C70A8">
        <w:rPr>
          <w:b/>
          <w:caps/>
        </w:rPr>
        <w:t>TRETIA  monitorovacia  správa  o  plnení  cieľov  Stratégie  vonkajšícH  ekonomických  vzťahov SR na obdobie  2014 - 2020</w:t>
      </w:r>
    </w:p>
    <w:p w14:paraId="56D92364" w14:textId="3640A5DF" w:rsidR="002A7510" w:rsidRDefault="002A7510" w:rsidP="002A7510">
      <w:pPr>
        <w:jc w:val="center"/>
        <w:rPr>
          <w:b/>
          <w:caps/>
        </w:rPr>
      </w:pPr>
      <w:r w:rsidRPr="000C70A8">
        <w:rPr>
          <w:b/>
          <w:caps/>
        </w:rPr>
        <w:t>Hodnotiace obdobie rok 2016</w:t>
      </w:r>
    </w:p>
    <w:p w14:paraId="3C9354D4" w14:textId="77777777" w:rsidR="00FD068D" w:rsidRDefault="00FD068D" w:rsidP="002A7510">
      <w:pPr>
        <w:jc w:val="center"/>
        <w:rPr>
          <w:b/>
          <w:caps/>
        </w:rPr>
      </w:pPr>
    </w:p>
    <w:p w14:paraId="7B2A14FD" w14:textId="77777777" w:rsidR="00FD068D" w:rsidRDefault="00FD068D" w:rsidP="002A7510">
      <w:pPr>
        <w:jc w:val="center"/>
        <w:rPr>
          <w:b/>
          <w:caps/>
        </w:rPr>
      </w:pPr>
    </w:p>
    <w:p w14:paraId="79D3198C" w14:textId="77777777" w:rsidR="002A7510" w:rsidRPr="000C70A8" w:rsidRDefault="002A7510" w:rsidP="002A7510">
      <w:pPr>
        <w:jc w:val="center"/>
        <w:rPr>
          <w:b/>
          <w:caps/>
        </w:rPr>
      </w:pPr>
    </w:p>
    <w:p w14:paraId="7972F776" w14:textId="77777777" w:rsidR="002A7510" w:rsidRPr="000C70A8" w:rsidRDefault="002A7510" w:rsidP="002A7510">
      <w:pPr>
        <w:rPr>
          <w:b/>
          <w:bCs/>
        </w:rPr>
      </w:pPr>
    </w:p>
    <w:p w14:paraId="3F65C2CE" w14:textId="77777777" w:rsidR="00DE1705" w:rsidRPr="00DE1705" w:rsidRDefault="002A7510">
      <w:pPr>
        <w:pStyle w:val="Hlavikaobsahu"/>
        <w:rPr>
          <w:rFonts w:ascii="Times New Roman" w:hAnsi="Times New Roman" w:cs="Times New Roman"/>
          <w:bCs w:val="0"/>
          <w:color w:val="auto"/>
          <w:sz w:val="24"/>
          <w:szCs w:val="24"/>
        </w:rPr>
      </w:pPr>
      <w:r w:rsidRPr="00DE1705">
        <w:rPr>
          <w:rFonts w:ascii="Times New Roman" w:hAnsi="Times New Roman" w:cs="Times New Roman"/>
          <w:bCs w:val="0"/>
          <w:color w:val="auto"/>
          <w:sz w:val="24"/>
          <w:szCs w:val="24"/>
        </w:rPr>
        <w:t>OBSAH</w:t>
      </w:r>
    </w:p>
    <w:sdt>
      <w:sdtPr>
        <w:id w:val="389241272"/>
        <w:docPartObj>
          <w:docPartGallery w:val="Table of Contents"/>
          <w:docPartUnique/>
        </w:docPartObj>
      </w:sdtPr>
      <w:sdtEndPr>
        <w:rPr>
          <w:b/>
          <w:bCs/>
        </w:rPr>
      </w:sdtEndPr>
      <w:sdtContent>
        <w:p w14:paraId="79E92809" w14:textId="6729887B" w:rsidR="00646D13" w:rsidRDefault="00646D13" w:rsidP="00DE1705"/>
        <w:p w14:paraId="08EFE03E" w14:textId="77777777" w:rsidR="00DD07C7" w:rsidRDefault="00646D13">
          <w:pPr>
            <w:pStyle w:val="Obsah1"/>
            <w:tabs>
              <w:tab w:val="right" w:leader="dot" w:pos="9062"/>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00503404" w:history="1">
            <w:r w:rsidR="00DD07C7" w:rsidRPr="00D33D65">
              <w:rPr>
                <w:rStyle w:val="Hypertextovprepojenie"/>
                <w:noProof/>
              </w:rPr>
              <w:t>1. ÚVOD</w:t>
            </w:r>
            <w:r w:rsidR="00DD07C7">
              <w:rPr>
                <w:noProof/>
                <w:webHidden/>
              </w:rPr>
              <w:tab/>
            </w:r>
            <w:r w:rsidR="00DD07C7">
              <w:rPr>
                <w:noProof/>
                <w:webHidden/>
              </w:rPr>
              <w:fldChar w:fldCharType="begin"/>
            </w:r>
            <w:r w:rsidR="00DD07C7">
              <w:rPr>
                <w:noProof/>
                <w:webHidden/>
              </w:rPr>
              <w:instrText xml:space="preserve"> PAGEREF _Toc500503404 \h </w:instrText>
            </w:r>
            <w:r w:rsidR="00DD07C7">
              <w:rPr>
                <w:noProof/>
                <w:webHidden/>
              </w:rPr>
            </w:r>
            <w:r w:rsidR="00DD07C7">
              <w:rPr>
                <w:noProof/>
                <w:webHidden/>
              </w:rPr>
              <w:fldChar w:fldCharType="separate"/>
            </w:r>
            <w:r w:rsidR="00DD07C7">
              <w:rPr>
                <w:noProof/>
                <w:webHidden/>
              </w:rPr>
              <w:t>1</w:t>
            </w:r>
            <w:r w:rsidR="00DD07C7">
              <w:rPr>
                <w:noProof/>
                <w:webHidden/>
              </w:rPr>
              <w:fldChar w:fldCharType="end"/>
            </w:r>
          </w:hyperlink>
        </w:p>
        <w:p w14:paraId="757A6A6F" w14:textId="77777777" w:rsidR="00DD07C7" w:rsidRDefault="00F849A5">
          <w:pPr>
            <w:pStyle w:val="Obsah1"/>
            <w:tabs>
              <w:tab w:val="right" w:leader="dot" w:pos="9062"/>
            </w:tabs>
            <w:rPr>
              <w:rFonts w:asciiTheme="minorHAnsi" w:eastAsiaTheme="minorEastAsia" w:hAnsiTheme="minorHAnsi" w:cstheme="minorBidi"/>
              <w:noProof/>
              <w:sz w:val="22"/>
              <w:szCs w:val="22"/>
            </w:rPr>
          </w:pPr>
          <w:hyperlink w:anchor="_Toc500503405" w:history="1">
            <w:r w:rsidR="00DD07C7" w:rsidRPr="00D33D65">
              <w:rPr>
                <w:rStyle w:val="Hypertextovprepojenie"/>
                <w:noProof/>
              </w:rPr>
              <w:t>2. PRIORITNÉ ZAMERANIE STRATÉGIE VEV</w:t>
            </w:r>
            <w:r w:rsidR="00DD07C7">
              <w:rPr>
                <w:noProof/>
                <w:webHidden/>
              </w:rPr>
              <w:tab/>
            </w:r>
            <w:r w:rsidR="00DD07C7">
              <w:rPr>
                <w:noProof/>
                <w:webHidden/>
              </w:rPr>
              <w:fldChar w:fldCharType="begin"/>
            </w:r>
            <w:r w:rsidR="00DD07C7">
              <w:rPr>
                <w:noProof/>
                <w:webHidden/>
              </w:rPr>
              <w:instrText xml:space="preserve"> PAGEREF _Toc500503405 \h </w:instrText>
            </w:r>
            <w:r w:rsidR="00DD07C7">
              <w:rPr>
                <w:noProof/>
                <w:webHidden/>
              </w:rPr>
            </w:r>
            <w:r w:rsidR="00DD07C7">
              <w:rPr>
                <w:noProof/>
                <w:webHidden/>
              </w:rPr>
              <w:fldChar w:fldCharType="separate"/>
            </w:r>
            <w:r w:rsidR="00DD07C7">
              <w:rPr>
                <w:noProof/>
                <w:webHidden/>
              </w:rPr>
              <w:t>1</w:t>
            </w:r>
            <w:r w:rsidR="00DD07C7">
              <w:rPr>
                <w:noProof/>
                <w:webHidden/>
              </w:rPr>
              <w:fldChar w:fldCharType="end"/>
            </w:r>
          </w:hyperlink>
        </w:p>
        <w:p w14:paraId="74522233" w14:textId="77777777" w:rsidR="00DD07C7" w:rsidRDefault="00F849A5">
          <w:pPr>
            <w:pStyle w:val="Obsah1"/>
            <w:tabs>
              <w:tab w:val="right" w:leader="dot" w:pos="9062"/>
            </w:tabs>
            <w:rPr>
              <w:rFonts w:asciiTheme="minorHAnsi" w:eastAsiaTheme="minorEastAsia" w:hAnsiTheme="minorHAnsi" w:cstheme="minorBidi"/>
              <w:noProof/>
              <w:sz w:val="22"/>
              <w:szCs w:val="22"/>
            </w:rPr>
          </w:pPr>
          <w:hyperlink w:anchor="_Toc500503406" w:history="1">
            <w:r w:rsidR="00DD07C7" w:rsidRPr="00D33D65">
              <w:rPr>
                <w:rStyle w:val="Hypertextovprepojenie"/>
                <w:noProof/>
              </w:rPr>
              <w:t>3. PLNENIE CIEĽOV STRATÉGIE VEV</w:t>
            </w:r>
            <w:r w:rsidR="00DD07C7">
              <w:rPr>
                <w:noProof/>
                <w:webHidden/>
              </w:rPr>
              <w:tab/>
            </w:r>
            <w:r w:rsidR="00DD07C7">
              <w:rPr>
                <w:noProof/>
                <w:webHidden/>
              </w:rPr>
              <w:fldChar w:fldCharType="begin"/>
            </w:r>
            <w:r w:rsidR="00DD07C7">
              <w:rPr>
                <w:noProof/>
                <w:webHidden/>
              </w:rPr>
              <w:instrText xml:space="preserve"> PAGEREF _Toc500503406 \h </w:instrText>
            </w:r>
            <w:r w:rsidR="00DD07C7">
              <w:rPr>
                <w:noProof/>
                <w:webHidden/>
              </w:rPr>
            </w:r>
            <w:r w:rsidR="00DD07C7">
              <w:rPr>
                <w:noProof/>
                <w:webHidden/>
              </w:rPr>
              <w:fldChar w:fldCharType="separate"/>
            </w:r>
            <w:r w:rsidR="00DD07C7">
              <w:rPr>
                <w:noProof/>
                <w:webHidden/>
              </w:rPr>
              <w:t>2</w:t>
            </w:r>
            <w:r w:rsidR="00DD07C7">
              <w:rPr>
                <w:noProof/>
                <w:webHidden/>
              </w:rPr>
              <w:fldChar w:fldCharType="end"/>
            </w:r>
          </w:hyperlink>
        </w:p>
        <w:p w14:paraId="0DF704BA" w14:textId="77777777" w:rsidR="00DD07C7" w:rsidRDefault="00F849A5">
          <w:pPr>
            <w:pStyle w:val="Obsah2"/>
            <w:rPr>
              <w:rFonts w:asciiTheme="minorHAnsi" w:eastAsiaTheme="minorEastAsia" w:hAnsiTheme="minorHAnsi" w:cstheme="minorBidi"/>
              <w:bCs w:val="0"/>
              <w:sz w:val="22"/>
              <w:szCs w:val="22"/>
            </w:rPr>
          </w:pPr>
          <w:hyperlink w:anchor="_Toc500503407" w:history="1">
            <w:r w:rsidR="00DD07C7" w:rsidRPr="00D33D65">
              <w:rPr>
                <w:rStyle w:val="Hypertextovprepojenie"/>
              </w:rPr>
              <w:t>3.1 Obchodno-politické ciele</w:t>
            </w:r>
            <w:r w:rsidR="00DD07C7">
              <w:rPr>
                <w:webHidden/>
              </w:rPr>
              <w:tab/>
            </w:r>
            <w:r w:rsidR="00DD07C7">
              <w:rPr>
                <w:webHidden/>
              </w:rPr>
              <w:fldChar w:fldCharType="begin"/>
            </w:r>
            <w:r w:rsidR="00DD07C7">
              <w:rPr>
                <w:webHidden/>
              </w:rPr>
              <w:instrText xml:space="preserve"> PAGEREF _Toc500503407 \h </w:instrText>
            </w:r>
            <w:r w:rsidR="00DD07C7">
              <w:rPr>
                <w:webHidden/>
              </w:rPr>
            </w:r>
            <w:r w:rsidR="00DD07C7">
              <w:rPr>
                <w:webHidden/>
              </w:rPr>
              <w:fldChar w:fldCharType="separate"/>
            </w:r>
            <w:r w:rsidR="00DD07C7">
              <w:rPr>
                <w:webHidden/>
              </w:rPr>
              <w:t>2</w:t>
            </w:r>
            <w:r w:rsidR="00DD07C7">
              <w:rPr>
                <w:webHidden/>
              </w:rPr>
              <w:fldChar w:fldCharType="end"/>
            </w:r>
          </w:hyperlink>
        </w:p>
        <w:p w14:paraId="587D1355" w14:textId="77777777" w:rsidR="00DD07C7" w:rsidRDefault="00F849A5">
          <w:pPr>
            <w:pStyle w:val="Obsah3"/>
            <w:tabs>
              <w:tab w:val="right" w:leader="dot" w:pos="9062"/>
            </w:tabs>
            <w:rPr>
              <w:rFonts w:asciiTheme="minorHAnsi" w:eastAsiaTheme="minorEastAsia" w:hAnsiTheme="minorHAnsi" w:cstheme="minorBidi"/>
              <w:noProof/>
              <w:sz w:val="22"/>
              <w:szCs w:val="22"/>
            </w:rPr>
          </w:pPr>
          <w:hyperlink w:anchor="_Toc500503408" w:history="1">
            <w:r w:rsidR="00DD07C7" w:rsidRPr="00D33D65">
              <w:rPr>
                <w:rStyle w:val="Hypertextovprepojenie"/>
                <w:noProof/>
              </w:rPr>
              <w:t>3.1.1 Nárast exportu</w:t>
            </w:r>
            <w:r w:rsidR="00DD07C7">
              <w:rPr>
                <w:noProof/>
                <w:webHidden/>
              </w:rPr>
              <w:tab/>
            </w:r>
            <w:r w:rsidR="00DD07C7">
              <w:rPr>
                <w:noProof/>
                <w:webHidden/>
              </w:rPr>
              <w:fldChar w:fldCharType="begin"/>
            </w:r>
            <w:r w:rsidR="00DD07C7">
              <w:rPr>
                <w:noProof/>
                <w:webHidden/>
              </w:rPr>
              <w:instrText xml:space="preserve"> PAGEREF _Toc500503408 \h </w:instrText>
            </w:r>
            <w:r w:rsidR="00DD07C7">
              <w:rPr>
                <w:noProof/>
                <w:webHidden/>
              </w:rPr>
            </w:r>
            <w:r w:rsidR="00DD07C7">
              <w:rPr>
                <w:noProof/>
                <w:webHidden/>
              </w:rPr>
              <w:fldChar w:fldCharType="separate"/>
            </w:r>
            <w:r w:rsidR="00DD07C7">
              <w:rPr>
                <w:noProof/>
                <w:webHidden/>
              </w:rPr>
              <w:t>2</w:t>
            </w:r>
            <w:r w:rsidR="00DD07C7">
              <w:rPr>
                <w:noProof/>
                <w:webHidden/>
              </w:rPr>
              <w:fldChar w:fldCharType="end"/>
            </w:r>
          </w:hyperlink>
        </w:p>
        <w:p w14:paraId="515B93D2" w14:textId="77777777" w:rsidR="00DD07C7" w:rsidRDefault="00F849A5">
          <w:pPr>
            <w:pStyle w:val="Obsah3"/>
            <w:tabs>
              <w:tab w:val="right" w:leader="dot" w:pos="9062"/>
            </w:tabs>
            <w:rPr>
              <w:rFonts w:asciiTheme="minorHAnsi" w:eastAsiaTheme="minorEastAsia" w:hAnsiTheme="minorHAnsi" w:cstheme="minorBidi"/>
              <w:noProof/>
              <w:sz w:val="22"/>
              <w:szCs w:val="22"/>
            </w:rPr>
          </w:pPr>
          <w:hyperlink w:anchor="_Toc500503409" w:history="1">
            <w:r w:rsidR="00DD07C7" w:rsidRPr="00D33D65">
              <w:rPr>
                <w:rStyle w:val="Hypertextovprepojenie"/>
                <w:noProof/>
              </w:rPr>
              <w:t>3.1.2 Nárast počtu exportérov tovarov</w:t>
            </w:r>
            <w:r w:rsidR="00DD07C7">
              <w:rPr>
                <w:noProof/>
                <w:webHidden/>
              </w:rPr>
              <w:tab/>
            </w:r>
            <w:r w:rsidR="00DD07C7">
              <w:rPr>
                <w:noProof/>
                <w:webHidden/>
              </w:rPr>
              <w:fldChar w:fldCharType="begin"/>
            </w:r>
            <w:r w:rsidR="00DD07C7">
              <w:rPr>
                <w:noProof/>
                <w:webHidden/>
              </w:rPr>
              <w:instrText xml:space="preserve"> PAGEREF _Toc500503409 \h </w:instrText>
            </w:r>
            <w:r w:rsidR="00DD07C7">
              <w:rPr>
                <w:noProof/>
                <w:webHidden/>
              </w:rPr>
            </w:r>
            <w:r w:rsidR="00DD07C7">
              <w:rPr>
                <w:noProof/>
                <w:webHidden/>
              </w:rPr>
              <w:fldChar w:fldCharType="separate"/>
            </w:r>
            <w:r w:rsidR="00DD07C7">
              <w:rPr>
                <w:noProof/>
                <w:webHidden/>
              </w:rPr>
              <w:t>4</w:t>
            </w:r>
            <w:r w:rsidR="00DD07C7">
              <w:rPr>
                <w:noProof/>
                <w:webHidden/>
              </w:rPr>
              <w:fldChar w:fldCharType="end"/>
            </w:r>
          </w:hyperlink>
        </w:p>
        <w:p w14:paraId="4142C75D" w14:textId="77777777" w:rsidR="00DD07C7" w:rsidRDefault="00F849A5">
          <w:pPr>
            <w:pStyle w:val="Obsah3"/>
            <w:tabs>
              <w:tab w:val="right" w:leader="dot" w:pos="9062"/>
            </w:tabs>
            <w:rPr>
              <w:rFonts w:asciiTheme="minorHAnsi" w:eastAsiaTheme="minorEastAsia" w:hAnsiTheme="minorHAnsi" w:cstheme="minorBidi"/>
              <w:noProof/>
              <w:sz w:val="22"/>
              <w:szCs w:val="22"/>
            </w:rPr>
          </w:pPr>
          <w:hyperlink w:anchor="_Toc500503410" w:history="1">
            <w:r w:rsidR="00DD07C7" w:rsidRPr="00D33D65">
              <w:rPr>
                <w:rStyle w:val="Hypertextovprepojenie"/>
                <w:noProof/>
              </w:rPr>
              <w:t>3.1.3 Diverzifikácia teritoriálnej štruktúry exportu - zvýšiť podiel exportu na mimoeurópske trhy</w:t>
            </w:r>
            <w:r w:rsidR="00DD07C7">
              <w:rPr>
                <w:noProof/>
                <w:webHidden/>
              </w:rPr>
              <w:tab/>
            </w:r>
            <w:r w:rsidR="00DD07C7">
              <w:rPr>
                <w:noProof/>
                <w:webHidden/>
              </w:rPr>
              <w:fldChar w:fldCharType="begin"/>
            </w:r>
            <w:r w:rsidR="00DD07C7">
              <w:rPr>
                <w:noProof/>
                <w:webHidden/>
              </w:rPr>
              <w:instrText xml:space="preserve"> PAGEREF _Toc500503410 \h </w:instrText>
            </w:r>
            <w:r w:rsidR="00DD07C7">
              <w:rPr>
                <w:noProof/>
                <w:webHidden/>
              </w:rPr>
            </w:r>
            <w:r w:rsidR="00DD07C7">
              <w:rPr>
                <w:noProof/>
                <w:webHidden/>
              </w:rPr>
              <w:fldChar w:fldCharType="separate"/>
            </w:r>
            <w:r w:rsidR="00DD07C7">
              <w:rPr>
                <w:noProof/>
                <w:webHidden/>
              </w:rPr>
              <w:t>6</w:t>
            </w:r>
            <w:r w:rsidR="00DD07C7">
              <w:rPr>
                <w:noProof/>
                <w:webHidden/>
              </w:rPr>
              <w:fldChar w:fldCharType="end"/>
            </w:r>
          </w:hyperlink>
        </w:p>
        <w:p w14:paraId="39E72017" w14:textId="77777777" w:rsidR="00DD07C7" w:rsidRDefault="00F849A5">
          <w:pPr>
            <w:pStyle w:val="Obsah3"/>
            <w:tabs>
              <w:tab w:val="right" w:leader="dot" w:pos="9062"/>
            </w:tabs>
            <w:rPr>
              <w:rFonts w:asciiTheme="minorHAnsi" w:eastAsiaTheme="minorEastAsia" w:hAnsiTheme="minorHAnsi" w:cstheme="minorBidi"/>
              <w:noProof/>
              <w:sz w:val="22"/>
              <w:szCs w:val="22"/>
            </w:rPr>
          </w:pPr>
          <w:hyperlink w:anchor="_Toc500503411" w:history="1">
            <w:r w:rsidR="00DD07C7" w:rsidRPr="00D33D65">
              <w:rPr>
                <w:rStyle w:val="Hypertextovprepojenie"/>
                <w:noProof/>
              </w:rPr>
              <w:t>3.1.4 Diverzifikácia komoditnej štruktúry exportu - zvýšiť podiel exportu v komoditných skupinách okrem HS85 a HS87</w:t>
            </w:r>
            <w:r w:rsidR="00DD07C7">
              <w:rPr>
                <w:noProof/>
                <w:webHidden/>
              </w:rPr>
              <w:tab/>
            </w:r>
            <w:r w:rsidR="00DD07C7">
              <w:rPr>
                <w:noProof/>
                <w:webHidden/>
              </w:rPr>
              <w:fldChar w:fldCharType="begin"/>
            </w:r>
            <w:r w:rsidR="00DD07C7">
              <w:rPr>
                <w:noProof/>
                <w:webHidden/>
              </w:rPr>
              <w:instrText xml:space="preserve"> PAGEREF _Toc500503411 \h </w:instrText>
            </w:r>
            <w:r w:rsidR="00DD07C7">
              <w:rPr>
                <w:noProof/>
                <w:webHidden/>
              </w:rPr>
            </w:r>
            <w:r w:rsidR="00DD07C7">
              <w:rPr>
                <w:noProof/>
                <w:webHidden/>
              </w:rPr>
              <w:fldChar w:fldCharType="separate"/>
            </w:r>
            <w:r w:rsidR="00DD07C7">
              <w:rPr>
                <w:noProof/>
                <w:webHidden/>
              </w:rPr>
              <w:t>8</w:t>
            </w:r>
            <w:r w:rsidR="00DD07C7">
              <w:rPr>
                <w:noProof/>
                <w:webHidden/>
              </w:rPr>
              <w:fldChar w:fldCharType="end"/>
            </w:r>
          </w:hyperlink>
        </w:p>
        <w:p w14:paraId="72C6DC02" w14:textId="77777777" w:rsidR="00DD07C7" w:rsidRDefault="00F849A5">
          <w:pPr>
            <w:pStyle w:val="Obsah3"/>
            <w:tabs>
              <w:tab w:val="right" w:leader="dot" w:pos="9062"/>
            </w:tabs>
            <w:rPr>
              <w:rFonts w:asciiTheme="minorHAnsi" w:eastAsiaTheme="minorEastAsia" w:hAnsiTheme="minorHAnsi" w:cstheme="minorBidi"/>
              <w:noProof/>
              <w:sz w:val="22"/>
              <w:szCs w:val="22"/>
            </w:rPr>
          </w:pPr>
          <w:hyperlink w:anchor="_Toc500503412" w:history="1">
            <w:r w:rsidR="00DD07C7" w:rsidRPr="00D33D65">
              <w:rPr>
                <w:rStyle w:val="Hypertextovprepojenie"/>
                <w:noProof/>
              </w:rPr>
              <w:t>3.1.5 Hlavné strategické ciele EXIMBANKY SR v nadväznosti na stratégiu VEV</w:t>
            </w:r>
            <w:r w:rsidR="00DD07C7">
              <w:rPr>
                <w:noProof/>
                <w:webHidden/>
              </w:rPr>
              <w:tab/>
            </w:r>
            <w:r w:rsidR="00DD07C7">
              <w:rPr>
                <w:noProof/>
                <w:webHidden/>
              </w:rPr>
              <w:fldChar w:fldCharType="begin"/>
            </w:r>
            <w:r w:rsidR="00DD07C7">
              <w:rPr>
                <w:noProof/>
                <w:webHidden/>
              </w:rPr>
              <w:instrText xml:space="preserve"> PAGEREF _Toc500503412 \h </w:instrText>
            </w:r>
            <w:r w:rsidR="00DD07C7">
              <w:rPr>
                <w:noProof/>
                <w:webHidden/>
              </w:rPr>
            </w:r>
            <w:r w:rsidR="00DD07C7">
              <w:rPr>
                <w:noProof/>
                <w:webHidden/>
              </w:rPr>
              <w:fldChar w:fldCharType="separate"/>
            </w:r>
            <w:r w:rsidR="00DD07C7">
              <w:rPr>
                <w:noProof/>
                <w:webHidden/>
              </w:rPr>
              <w:t>9</w:t>
            </w:r>
            <w:r w:rsidR="00DD07C7">
              <w:rPr>
                <w:noProof/>
                <w:webHidden/>
              </w:rPr>
              <w:fldChar w:fldCharType="end"/>
            </w:r>
          </w:hyperlink>
        </w:p>
        <w:p w14:paraId="51F327C5" w14:textId="77777777" w:rsidR="00DD07C7" w:rsidRDefault="00F849A5">
          <w:pPr>
            <w:pStyle w:val="Obsah3"/>
            <w:tabs>
              <w:tab w:val="right" w:leader="dot" w:pos="9062"/>
            </w:tabs>
            <w:rPr>
              <w:rFonts w:asciiTheme="minorHAnsi" w:eastAsiaTheme="minorEastAsia" w:hAnsiTheme="minorHAnsi" w:cstheme="minorBidi"/>
              <w:noProof/>
              <w:sz w:val="22"/>
              <w:szCs w:val="22"/>
            </w:rPr>
          </w:pPr>
          <w:hyperlink w:anchor="_Toc500503413" w:history="1">
            <w:r w:rsidR="00DD07C7" w:rsidRPr="00D33D65">
              <w:rPr>
                <w:rStyle w:val="Hypertextovprepojenie"/>
                <w:noProof/>
              </w:rPr>
              <w:t>3.1.6 Podiel exportu služieb</w:t>
            </w:r>
            <w:r w:rsidR="00DD07C7">
              <w:rPr>
                <w:noProof/>
                <w:webHidden/>
              </w:rPr>
              <w:tab/>
            </w:r>
            <w:r w:rsidR="00DD07C7">
              <w:rPr>
                <w:noProof/>
                <w:webHidden/>
              </w:rPr>
              <w:fldChar w:fldCharType="begin"/>
            </w:r>
            <w:r w:rsidR="00DD07C7">
              <w:rPr>
                <w:noProof/>
                <w:webHidden/>
              </w:rPr>
              <w:instrText xml:space="preserve"> PAGEREF _Toc500503413 \h </w:instrText>
            </w:r>
            <w:r w:rsidR="00DD07C7">
              <w:rPr>
                <w:noProof/>
                <w:webHidden/>
              </w:rPr>
            </w:r>
            <w:r w:rsidR="00DD07C7">
              <w:rPr>
                <w:noProof/>
                <w:webHidden/>
              </w:rPr>
              <w:fldChar w:fldCharType="separate"/>
            </w:r>
            <w:r w:rsidR="00DD07C7">
              <w:rPr>
                <w:noProof/>
                <w:webHidden/>
              </w:rPr>
              <w:t>14</w:t>
            </w:r>
            <w:r w:rsidR="00DD07C7">
              <w:rPr>
                <w:noProof/>
                <w:webHidden/>
              </w:rPr>
              <w:fldChar w:fldCharType="end"/>
            </w:r>
          </w:hyperlink>
        </w:p>
        <w:p w14:paraId="784991BF" w14:textId="77777777" w:rsidR="00DD07C7" w:rsidRDefault="00F849A5">
          <w:pPr>
            <w:pStyle w:val="Obsah3"/>
            <w:tabs>
              <w:tab w:val="right" w:leader="dot" w:pos="9062"/>
            </w:tabs>
            <w:rPr>
              <w:rFonts w:asciiTheme="minorHAnsi" w:eastAsiaTheme="minorEastAsia" w:hAnsiTheme="minorHAnsi" w:cstheme="minorBidi"/>
              <w:noProof/>
              <w:sz w:val="22"/>
              <w:szCs w:val="22"/>
            </w:rPr>
          </w:pPr>
          <w:hyperlink w:anchor="_Toc500503414" w:history="1">
            <w:r w:rsidR="00DD07C7" w:rsidRPr="00D33D65">
              <w:rPr>
                <w:rStyle w:val="Hypertextovprepojenie"/>
                <w:noProof/>
              </w:rPr>
              <w:t>3.1.7 Podiel exportu MSP</w:t>
            </w:r>
            <w:r w:rsidR="00DD07C7">
              <w:rPr>
                <w:noProof/>
                <w:webHidden/>
              </w:rPr>
              <w:tab/>
            </w:r>
            <w:r w:rsidR="00DD07C7">
              <w:rPr>
                <w:noProof/>
                <w:webHidden/>
              </w:rPr>
              <w:fldChar w:fldCharType="begin"/>
            </w:r>
            <w:r w:rsidR="00DD07C7">
              <w:rPr>
                <w:noProof/>
                <w:webHidden/>
              </w:rPr>
              <w:instrText xml:space="preserve"> PAGEREF _Toc500503414 \h </w:instrText>
            </w:r>
            <w:r w:rsidR="00DD07C7">
              <w:rPr>
                <w:noProof/>
                <w:webHidden/>
              </w:rPr>
            </w:r>
            <w:r w:rsidR="00DD07C7">
              <w:rPr>
                <w:noProof/>
                <w:webHidden/>
              </w:rPr>
              <w:fldChar w:fldCharType="separate"/>
            </w:r>
            <w:r w:rsidR="00DD07C7">
              <w:rPr>
                <w:noProof/>
                <w:webHidden/>
              </w:rPr>
              <w:t>14</w:t>
            </w:r>
            <w:r w:rsidR="00DD07C7">
              <w:rPr>
                <w:noProof/>
                <w:webHidden/>
              </w:rPr>
              <w:fldChar w:fldCharType="end"/>
            </w:r>
          </w:hyperlink>
        </w:p>
        <w:p w14:paraId="39693CC8" w14:textId="77777777" w:rsidR="00DD07C7" w:rsidRDefault="00F849A5">
          <w:pPr>
            <w:pStyle w:val="Obsah2"/>
            <w:rPr>
              <w:rFonts w:asciiTheme="minorHAnsi" w:eastAsiaTheme="minorEastAsia" w:hAnsiTheme="minorHAnsi" w:cstheme="minorBidi"/>
              <w:bCs w:val="0"/>
              <w:sz w:val="22"/>
              <w:szCs w:val="22"/>
            </w:rPr>
          </w:pPr>
          <w:hyperlink w:anchor="_Toc500503415" w:history="1">
            <w:r w:rsidR="00DD07C7" w:rsidRPr="00D33D65">
              <w:rPr>
                <w:rStyle w:val="Hypertextovprepojenie"/>
                <w:b/>
              </w:rPr>
              <w:t>3.1.8 Zabezpečenie stabilných dodávok strategických tovarov</w:t>
            </w:r>
            <w:r w:rsidR="00DD07C7">
              <w:rPr>
                <w:webHidden/>
              </w:rPr>
              <w:tab/>
            </w:r>
            <w:r w:rsidR="00DD07C7">
              <w:rPr>
                <w:webHidden/>
              </w:rPr>
              <w:fldChar w:fldCharType="begin"/>
            </w:r>
            <w:r w:rsidR="00DD07C7">
              <w:rPr>
                <w:webHidden/>
              </w:rPr>
              <w:instrText xml:space="preserve"> PAGEREF _Toc500503415 \h </w:instrText>
            </w:r>
            <w:r w:rsidR="00DD07C7">
              <w:rPr>
                <w:webHidden/>
              </w:rPr>
            </w:r>
            <w:r w:rsidR="00DD07C7">
              <w:rPr>
                <w:webHidden/>
              </w:rPr>
              <w:fldChar w:fldCharType="separate"/>
            </w:r>
            <w:r w:rsidR="00DD07C7">
              <w:rPr>
                <w:webHidden/>
              </w:rPr>
              <w:t>16</w:t>
            </w:r>
            <w:r w:rsidR="00DD07C7">
              <w:rPr>
                <w:webHidden/>
              </w:rPr>
              <w:fldChar w:fldCharType="end"/>
            </w:r>
          </w:hyperlink>
        </w:p>
        <w:p w14:paraId="154D89D1" w14:textId="77777777" w:rsidR="00DD07C7" w:rsidRDefault="00F849A5">
          <w:pPr>
            <w:pStyle w:val="Obsah3"/>
            <w:tabs>
              <w:tab w:val="right" w:leader="dot" w:pos="9062"/>
            </w:tabs>
            <w:rPr>
              <w:rFonts w:asciiTheme="minorHAnsi" w:eastAsiaTheme="minorEastAsia" w:hAnsiTheme="minorHAnsi" w:cstheme="minorBidi"/>
              <w:noProof/>
              <w:sz w:val="22"/>
              <w:szCs w:val="22"/>
            </w:rPr>
          </w:pPr>
          <w:hyperlink w:anchor="_Toc500503416" w:history="1">
            <w:r w:rsidR="00DD07C7" w:rsidRPr="00D33D65">
              <w:rPr>
                <w:rStyle w:val="Hypertextovprepojenie"/>
                <w:noProof/>
              </w:rPr>
              <w:t>3.1.9 Ukazovatele k sledovaniu plnenia proexportných cieľov</w:t>
            </w:r>
            <w:r w:rsidR="00DD07C7">
              <w:rPr>
                <w:noProof/>
                <w:webHidden/>
              </w:rPr>
              <w:tab/>
            </w:r>
            <w:r w:rsidR="00DD07C7">
              <w:rPr>
                <w:noProof/>
                <w:webHidden/>
              </w:rPr>
              <w:fldChar w:fldCharType="begin"/>
            </w:r>
            <w:r w:rsidR="00DD07C7">
              <w:rPr>
                <w:noProof/>
                <w:webHidden/>
              </w:rPr>
              <w:instrText xml:space="preserve"> PAGEREF _Toc500503416 \h </w:instrText>
            </w:r>
            <w:r w:rsidR="00DD07C7">
              <w:rPr>
                <w:noProof/>
                <w:webHidden/>
              </w:rPr>
            </w:r>
            <w:r w:rsidR="00DD07C7">
              <w:rPr>
                <w:noProof/>
                <w:webHidden/>
              </w:rPr>
              <w:fldChar w:fldCharType="separate"/>
            </w:r>
            <w:r w:rsidR="00DD07C7">
              <w:rPr>
                <w:noProof/>
                <w:webHidden/>
              </w:rPr>
              <w:t>18</w:t>
            </w:r>
            <w:r w:rsidR="00DD07C7">
              <w:rPr>
                <w:noProof/>
                <w:webHidden/>
              </w:rPr>
              <w:fldChar w:fldCharType="end"/>
            </w:r>
          </w:hyperlink>
        </w:p>
        <w:p w14:paraId="00B1D03E" w14:textId="78AAB405" w:rsidR="00646D13" w:rsidRDefault="00646D13">
          <w:r>
            <w:rPr>
              <w:b/>
              <w:bCs/>
            </w:rPr>
            <w:fldChar w:fldCharType="end"/>
          </w:r>
        </w:p>
      </w:sdtContent>
    </w:sdt>
    <w:p w14:paraId="6903D3A2" w14:textId="77777777" w:rsidR="002A7510" w:rsidRPr="00FD068D" w:rsidRDefault="002A7510" w:rsidP="00386C66">
      <w:pPr>
        <w:pStyle w:val="Nadpis1"/>
        <w:rPr>
          <w:rFonts w:ascii="Times New Roman" w:hAnsi="Times New Roman" w:cs="Times New Roman"/>
          <w:color w:val="auto"/>
          <w:sz w:val="24"/>
        </w:rPr>
      </w:pPr>
      <w:bookmarkStart w:id="7" w:name="_Toc459125648"/>
      <w:bookmarkStart w:id="8" w:name="_Toc498377380"/>
      <w:bookmarkStart w:id="9" w:name="_Toc500503404"/>
      <w:r w:rsidRPr="00FD068D">
        <w:rPr>
          <w:rFonts w:ascii="Times New Roman" w:hAnsi="Times New Roman" w:cs="Times New Roman"/>
          <w:color w:val="auto"/>
          <w:sz w:val="24"/>
        </w:rPr>
        <w:t>1. ÚVOD</w:t>
      </w:r>
      <w:bookmarkEnd w:id="7"/>
      <w:bookmarkEnd w:id="8"/>
      <w:bookmarkEnd w:id="9"/>
    </w:p>
    <w:p w14:paraId="52DACA3D" w14:textId="17DBDD25" w:rsidR="002A7510" w:rsidRPr="000C70A8" w:rsidRDefault="002A7510" w:rsidP="002A7510">
      <w:pPr>
        <w:ind w:firstLine="708"/>
        <w:jc w:val="both"/>
      </w:pPr>
      <w:bookmarkStart w:id="10" w:name="_Toc421797923"/>
      <w:r w:rsidRPr="000C70A8">
        <w:t>Vláda SR na rokovaní dňa 12. 03. 2014 uznesením č. 107 schválila Stratégiu vonkajších ekonomických vzťahov SR na obdobie 2014 - 2020 (ďalej len „stratégia VEV“). Podľa bodu B.8. uvedeného uznesenia je potrebné zabezpečiť monitorovanie, kontrolu a podľa potreby prijímanie nových úloh na podporu implementácie stratégie VEV každoročne v termíne do 31. októbra 2016.</w:t>
      </w:r>
      <w:bookmarkEnd w:id="10"/>
      <w:r w:rsidRPr="000C70A8">
        <w:t xml:space="preserve"> </w:t>
      </w:r>
    </w:p>
    <w:p w14:paraId="2E8D5E94" w14:textId="77777777" w:rsidR="002A7510" w:rsidRPr="000C70A8" w:rsidRDefault="002A7510" w:rsidP="002A7510">
      <w:pPr>
        <w:jc w:val="both"/>
      </w:pPr>
    </w:p>
    <w:p w14:paraId="00721422" w14:textId="55A436EC" w:rsidR="002A7510" w:rsidRPr="000C70A8" w:rsidRDefault="002A7510" w:rsidP="002A7510">
      <w:pPr>
        <w:spacing w:after="240"/>
        <w:ind w:firstLine="708"/>
        <w:jc w:val="both"/>
      </w:pPr>
      <w:r w:rsidRPr="000C70A8">
        <w:t xml:space="preserve">Pre účely kontroly implementácie stratégie VEV bol v súlade s článkom 8 stratégie VEV (hodnotenie a kontrolné mechanizmy implementácie stratégie) vytvorený monitorovací výbor, ktorého zloženie schválila Rada vlády SR na podporu exportu a investícií (ďalej        len „rada“) na rokovaní dňa 18. 02. 2015. </w:t>
      </w:r>
    </w:p>
    <w:p w14:paraId="337B10F4" w14:textId="77777777" w:rsidR="002A7510" w:rsidRPr="00FD068D" w:rsidRDefault="002A7510" w:rsidP="00386C66">
      <w:pPr>
        <w:pStyle w:val="Nadpis1"/>
        <w:rPr>
          <w:rFonts w:ascii="Times New Roman" w:hAnsi="Times New Roman" w:cs="Times New Roman"/>
          <w:color w:val="auto"/>
        </w:rPr>
      </w:pPr>
      <w:bookmarkStart w:id="11" w:name="_Toc423946119"/>
      <w:bookmarkStart w:id="12" w:name="_Toc459125649"/>
      <w:bookmarkStart w:id="13" w:name="_Toc498377381"/>
      <w:bookmarkStart w:id="14" w:name="_Toc500503405"/>
      <w:r w:rsidRPr="00FD068D">
        <w:rPr>
          <w:rFonts w:ascii="Times New Roman" w:hAnsi="Times New Roman" w:cs="Times New Roman"/>
          <w:color w:val="auto"/>
          <w:sz w:val="24"/>
        </w:rPr>
        <w:t>2. PRIORITNÉ ZAMERANIE STRATÉGIE VEV</w:t>
      </w:r>
      <w:bookmarkEnd w:id="11"/>
      <w:bookmarkEnd w:id="12"/>
      <w:bookmarkEnd w:id="13"/>
      <w:bookmarkEnd w:id="14"/>
    </w:p>
    <w:p w14:paraId="134627C0" w14:textId="77777777" w:rsidR="002A7510" w:rsidRPr="000C70A8" w:rsidRDefault="002A7510" w:rsidP="002A7510">
      <w:pPr>
        <w:ind w:firstLine="708"/>
        <w:jc w:val="both"/>
        <w:rPr>
          <w:bCs/>
        </w:rPr>
      </w:pPr>
      <w:r w:rsidRPr="000C70A8">
        <w:rPr>
          <w:bCs/>
        </w:rPr>
        <w:t xml:space="preserve">Stratégia VEV nadväzuje na Stratégiu proexportnej politiky na roky 2007 - 2013.   Na základe rozhodnutia rady z 25. 03. 2013 prekračuje jej rámec rozšírením na stratégiu </w:t>
      </w:r>
      <w:r w:rsidRPr="000C70A8">
        <w:rPr>
          <w:bCs/>
        </w:rPr>
        <w:lastRenderedPageBreak/>
        <w:t xml:space="preserve">„vonkajších ekonomických vzťahov“ a to pripojením okruhov podpory prílevu investícií, podpory spolupráce so zahraničím v oblasti inovácií a jednotnej prezentácie SR. Stratégia VEV sa tak dostala do prieniku s inými čiastkovými hospodárskymi politikami štátu (predovšetkým investičnou a inovačnou) a strategickými dokumentmi, ktoré stanovujú priority v týchto oblastiach. </w:t>
      </w:r>
    </w:p>
    <w:p w14:paraId="056FBE31" w14:textId="77777777" w:rsidR="002A7510" w:rsidRPr="000C70A8" w:rsidRDefault="002A7510" w:rsidP="002A7510">
      <w:pPr>
        <w:autoSpaceDE w:val="0"/>
        <w:autoSpaceDN w:val="0"/>
        <w:adjustRightInd w:val="0"/>
        <w:ind w:firstLine="709"/>
        <w:jc w:val="both"/>
        <w:rPr>
          <w:bCs/>
        </w:rPr>
      </w:pPr>
    </w:p>
    <w:p w14:paraId="2AE019EF" w14:textId="77777777" w:rsidR="002A7510" w:rsidRPr="000C70A8" w:rsidRDefault="002A7510" w:rsidP="002A7510">
      <w:pPr>
        <w:autoSpaceDE w:val="0"/>
        <w:autoSpaceDN w:val="0"/>
        <w:adjustRightInd w:val="0"/>
        <w:spacing w:after="240"/>
        <w:ind w:firstLine="708"/>
        <w:jc w:val="both"/>
        <w:rPr>
          <w:bCs/>
        </w:rPr>
      </w:pPr>
      <w:r w:rsidRPr="000C70A8">
        <w:rPr>
          <w:bCs/>
        </w:rPr>
        <w:t xml:space="preserve">Uvedomujúc si komplexnosť predmetu stratégie VEV a uvedené prieniky, rada </w:t>
      </w:r>
      <w:r w:rsidRPr="000C70A8">
        <w:rPr>
          <w:bCs/>
        </w:rPr>
        <w:br/>
        <w:t>na svojom zasadnutí 06. 05. 2013 rozhodla o zúžení zamerania stratégie VEV predovšetkým na oblasť zahraničnoobchodnej politiky v zmysle schváleného materiálu „</w:t>
      </w:r>
      <w:r w:rsidRPr="000C70A8">
        <w:t>Východiská stratégie vonkajších ekonomických vzťahov</w:t>
      </w:r>
      <w:r w:rsidRPr="000C70A8">
        <w:rPr>
          <w:bCs/>
        </w:rPr>
        <w:t xml:space="preserve"> </w:t>
      </w:r>
      <w:r w:rsidRPr="000C70A8">
        <w:t xml:space="preserve">na roky 2014 - 2020“. </w:t>
      </w:r>
      <w:r w:rsidRPr="000C70A8">
        <w:rPr>
          <w:b/>
        </w:rPr>
        <w:t xml:space="preserve">Oblasť </w:t>
      </w:r>
      <w:r w:rsidRPr="000C70A8">
        <w:rPr>
          <w:b/>
          <w:bCs/>
        </w:rPr>
        <w:t>proexportnej politiky ako prioritného zamerania zahraničnoobchodnej politiky štátu tak tvorí základ stratégie VEV.</w:t>
      </w:r>
    </w:p>
    <w:p w14:paraId="724FA386" w14:textId="77777777" w:rsidR="002A7510" w:rsidRPr="00FD068D" w:rsidRDefault="002A7510" w:rsidP="00386C66">
      <w:pPr>
        <w:pStyle w:val="Nadpis1"/>
        <w:rPr>
          <w:rFonts w:ascii="Times New Roman" w:hAnsi="Times New Roman" w:cs="Times New Roman"/>
          <w:color w:val="auto"/>
          <w:sz w:val="24"/>
        </w:rPr>
      </w:pPr>
      <w:bookmarkStart w:id="15" w:name="_Toc423946120"/>
      <w:bookmarkStart w:id="16" w:name="_Toc459125650"/>
      <w:bookmarkStart w:id="17" w:name="_Toc498377382"/>
      <w:bookmarkStart w:id="18" w:name="_Toc500503406"/>
      <w:r w:rsidRPr="00FD068D">
        <w:rPr>
          <w:rFonts w:ascii="Times New Roman" w:hAnsi="Times New Roman" w:cs="Times New Roman"/>
          <w:color w:val="auto"/>
          <w:sz w:val="24"/>
        </w:rPr>
        <w:t>3. PLNENIE CIEĽOV STRATÉGIE VEV</w:t>
      </w:r>
      <w:bookmarkEnd w:id="15"/>
      <w:bookmarkEnd w:id="16"/>
      <w:bookmarkEnd w:id="17"/>
      <w:bookmarkEnd w:id="18"/>
    </w:p>
    <w:p w14:paraId="74414EFD" w14:textId="77777777" w:rsidR="002A7510" w:rsidRPr="000C70A8" w:rsidRDefault="002A7510" w:rsidP="002A7510">
      <w:pPr>
        <w:autoSpaceDE w:val="0"/>
        <w:autoSpaceDN w:val="0"/>
        <w:adjustRightInd w:val="0"/>
        <w:ind w:firstLine="426"/>
        <w:jc w:val="both"/>
        <w:rPr>
          <w:b/>
          <w:bCs/>
        </w:rPr>
      </w:pPr>
      <w:r w:rsidRPr="000C70A8">
        <w:rPr>
          <w:bCs/>
        </w:rPr>
        <w:t>Ciele stratégie VEV sú zamerané na štyri oblasti a </w:t>
      </w:r>
      <w:r w:rsidRPr="00FD068D">
        <w:rPr>
          <w:bCs/>
        </w:rPr>
        <w:t xml:space="preserve">to obchodno-politické ciele, </w:t>
      </w:r>
      <w:proofErr w:type="spellStart"/>
      <w:r w:rsidRPr="00FD068D">
        <w:rPr>
          <w:bCs/>
        </w:rPr>
        <w:t>proinvestičné</w:t>
      </w:r>
      <w:proofErr w:type="spellEnd"/>
      <w:r w:rsidRPr="00FD068D">
        <w:rPr>
          <w:bCs/>
        </w:rPr>
        <w:t xml:space="preserve"> ciele, ciele v oblasti výskumnej a inovačnej spolupráce so zahraničím </w:t>
      </w:r>
      <w:r w:rsidRPr="00FD068D">
        <w:rPr>
          <w:bCs/>
        </w:rPr>
        <w:br/>
        <w:t xml:space="preserve">a ciele v oblasti jednotnej prezentácie SR. </w:t>
      </w:r>
      <w:r w:rsidRPr="000C70A8">
        <w:rPr>
          <w:b/>
          <w:bCs/>
        </w:rPr>
        <w:t>V súlade s prioritným zameraním stratégie VEV je monitorovacia správa zameraná predovšetkým na hodnotenie plnenia cieľov v oblasti podpory exportu, t.j. na obchodno-politické ciele.</w:t>
      </w:r>
    </w:p>
    <w:p w14:paraId="47602293" w14:textId="77777777" w:rsidR="002A7510" w:rsidRPr="000C70A8" w:rsidRDefault="002A7510" w:rsidP="002A7510">
      <w:pPr>
        <w:rPr>
          <w:b/>
          <w:bCs/>
        </w:rPr>
      </w:pPr>
    </w:p>
    <w:p w14:paraId="37E23183" w14:textId="77777777" w:rsidR="002A7510" w:rsidRPr="00FD068D" w:rsidRDefault="002A7510" w:rsidP="00386C66">
      <w:pPr>
        <w:pStyle w:val="Nadpis2"/>
        <w:rPr>
          <w:rFonts w:ascii="Times New Roman" w:hAnsi="Times New Roman" w:cs="Times New Roman"/>
          <w:color w:val="auto"/>
          <w:sz w:val="24"/>
        </w:rPr>
      </w:pPr>
      <w:bookmarkStart w:id="19" w:name="_Toc498377383"/>
      <w:bookmarkStart w:id="20" w:name="_Toc500503407"/>
      <w:r w:rsidRPr="00FD068D">
        <w:rPr>
          <w:rFonts w:ascii="Times New Roman" w:hAnsi="Times New Roman" w:cs="Times New Roman"/>
          <w:color w:val="auto"/>
          <w:sz w:val="24"/>
        </w:rPr>
        <w:t>3.1 Obchodno-politické ciele</w:t>
      </w:r>
      <w:bookmarkEnd w:id="0"/>
      <w:bookmarkEnd w:id="1"/>
      <w:bookmarkEnd w:id="19"/>
      <w:bookmarkEnd w:id="20"/>
    </w:p>
    <w:bookmarkEnd w:id="2"/>
    <w:p w14:paraId="7B9231CC" w14:textId="77777777" w:rsidR="002A7510" w:rsidRPr="000C70A8" w:rsidRDefault="002A7510" w:rsidP="002A7510">
      <w:pPr>
        <w:rPr>
          <w:b/>
        </w:rPr>
      </w:pPr>
    </w:p>
    <w:p w14:paraId="328D5CB1" w14:textId="77777777" w:rsidR="002A7510" w:rsidRPr="000C70A8" w:rsidRDefault="002A7510" w:rsidP="002A7510">
      <w:pPr>
        <w:spacing w:after="120"/>
        <w:ind w:firstLine="709"/>
        <w:jc w:val="both"/>
        <w:rPr>
          <w:i/>
        </w:rPr>
      </w:pPr>
      <w:r w:rsidRPr="000C70A8">
        <w:t>Stratégia VEV stanovila pre túto oblasť všeobecné a špecifické ciele, ktoré vyplývajú            zo slabých stránok zahraničného obchodu SR. Súčasťou stratégie VEV sú nasledovné kvantifikačné ukazovatele k sledovaniu plnenia cieľov stratégie VEV (</w:t>
      </w:r>
      <w:r w:rsidRPr="000C70A8">
        <w:rPr>
          <w:i/>
        </w:rPr>
        <w:t>ich vývoj za obdobie 2016 v porovnaní s rokom 2015 je v prílohe č. 1).</w:t>
      </w:r>
    </w:p>
    <w:p w14:paraId="7429B642" w14:textId="77777777" w:rsidR="002A7510" w:rsidRPr="000C70A8" w:rsidRDefault="002A7510" w:rsidP="002A7510"/>
    <w:p w14:paraId="7F41F882" w14:textId="77777777" w:rsidR="002A7510" w:rsidRPr="00FD068D" w:rsidRDefault="002A7510" w:rsidP="00386C66">
      <w:pPr>
        <w:pStyle w:val="Nadpis3"/>
        <w:rPr>
          <w:rFonts w:ascii="Times New Roman" w:hAnsi="Times New Roman" w:cs="Times New Roman"/>
          <w:color w:val="auto"/>
          <w:sz w:val="24"/>
        </w:rPr>
      </w:pPr>
      <w:bookmarkStart w:id="21" w:name="_Toc423946122"/>
      <w:bookmarkStart w:id="22" w:name="_Toc461452547"/>
      <w:bookmarkStart w:id="23" w:name="_Toc498377384"/>
      <w:bookmarkStart w:id="24" w:name="_Toc500503408"/>
      <w:r w:rsidRPr="00FD068D">
        <w:rPr>
          <w:rFonts w:ascii="Times New Roman" w:hAnsi="Times New Roman" w:cs="Times New Roman"/>
          <w:color w:val="auto"/>
          <w:sz w:val="24"/>
        </w:rPr>
        <w:t>3.1.1 Nárast exportu</w:t>
      </w:r>
      <w:bookmarkEnd w:id="21"/>
      <w:bookmarkEnd w:id="22"/>
      <w:bookmarkEnd w:id="23"/>
      <w:bookmarkEnd w:id="24"/>
    </w:p>
    <w:p w14:paraId="20E7A111" w14:textId="77777777" w:rsidR="002A7510" w:rsidRPr="000C70A8" w:rsidRDefault="002A7510" w:rsidP="002A7510">
      <w:pPr>
        <w:spacing w:after="120"/>
        <w:ind w:firstLine="709"/>
        <w:jc w:val="both"/>
      </w:pPr>
      <w:r w:rsidRPr="000C70A8">
        <w:rPr>
          <w:b/>
        </w:rPr>
        <w:t>Výsledky zahraničného obchodu</w:t>
      </w:r>
      <w:r w:rsidRPr="000C70A8">
        <w:t xml:space="preserve"> </w:t>
      </w:r>
      <w:r w:rsidRPr="000C70A8">
        <w:rPr>
          <w:b/>
        </w:rPr>
        <w:t>za rok 2016</w:t>
      </w:r>
      <w:r w:rsidRPr="000C70A8">
        <w:t xml:space="preserve"> v porovnaní s rokom 2015 sú nasledujúce:</w:t>
      </w: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7"/>
        <w:gridCol w:w="2790"/>
        <w:gridCol w:w="2774"/>
        <w:gridCol w:w="1971"/>
      </w:tblGrid>
      <w:tr w:rsidR="002A7510" w:rsidRPr="000C70A8" w14:paraId="061CA230" w14:textId="77777777" w:rsidTr="00A477BC">
        <w:trPr>
          <w:jc w:val="center"/>
        </w:trPr>
        <w:tc>
          <w:tcPr>
            <w:tcW w:w="1387" w:type="dxa"/>
            <w:shd w:val="clear" w:color="auto" w:fill="E2EFD9" w:themeFill="accent6" w:themeFillTint="33"/>
          </w:tcPr>
          <w:p w14:paraId="711ADD2B" w14:textId="77777777" w:rsidR="002A7510" w:rsidRPr="000C70A8" w:rsidRDefault="002A7510" w:rsidP="000C70A8">
            <w:pPr>
              <w:spacing w:before="20" w:after="20"/>
              <w:ind w:firstLineChars="245" w:firstLine="590"/>
              <w:jc w:val="both"/>
              <w:rPr>
                <w:b/>
              </w:rPr>
            </w:pPr>
          </w:p>
        </w:tc>
        <w:tc>
          <w:tcPr>
            <w:tcW w:w="2790" w:type="dxa"/>
            <w:shd w:val="clear" w:color="auto" w:fill="E2EFD9" w:themeFill="accent6" w:themeFillTint="33"/>
          </w:tcPr>
          <w:p w14:paraId="2EA3AC37" w14:textId="77777777" w:rsidR="002A7510" w:rsidRPr="000C70A8" w:rsidRDefault="002A7510" w:rsidP="00A477BC">
            <w:pPr>
              <w:spacing w:before="20" w:after="20"/>
              <w:jc w:val="center"/>
              <w:rPr>
                <w:b/>
              </w:rPr>
            </w:pPr>
            <w:r w:rsidRPr="000C70A8">
              <w:rPr>
                <w:b/>
              </w:rPr>
              <w:t>2015</w:t>
            </w:r>
          </w:p>
        </w:tc>
        <w:tc>
          <w:tcPr>
            <w:tcW w:w="2774" w:type="dxa"/>
            <w:shd w:val="clear" w:color="auto" w:fill="E2EFD9" w:themeFill="accent6" w:themeFillTint="33"/>
          </w:tcPr>
          <w:p w14:paraId="58127B8B" w14:textId="77777777" w:rsidR="002A7510" w:rsidRPr="000C70A8" w:rsidRDefault="002A7510" w:rsidP="000C70A8">
            <w:pPr>
              <w:spacing w:before="20" w:after="20"/>
              <w:ind w:firstLineChars="9" w:firstLine="22"/>
              <w:jc w:val="center"/>
              <w:rPr>
                <w:b/>
              </w:rPr>
            </w:pPr>
            <w:r w:rsidRPr="000C70A8">
              <w:rPr>
                <w:b/>
              </w:rPr>
              <w:t>2016</w:t>
            </w:r>
          </w:p>
        </w:tc>
        <w:tc>
          <w:tcPr>
            <w:tcW w:w="1971" w:type="dxa"/>
            <w:shd w:val="clear" w:color="auto" w:fill="E2EFD9" w:themeFill="accent6" w:themeFillTint="33"/>
          </w:tcPr>
          <w:p w14:paraId="581A5ADD" w14:textId="0655BB72" w:rsidR="002A7510" w:rsidRPr="000C70A8" w:rsidRDefault="00FD068D" w:rsidP="000C70A8">
            <w:pPr>
              <w:spacing w:before="20" w:after="20"/>
              <w:ind w:firstLineChars="245" w:firstLine="590"/>
              <w:rPr>
                <w:b/>
              </w:rPr>
            </w:pPr>
            <w:r w:rsidRPr="000C70A8">
              <w:rPr>
                <w:b/>
              </w:rPr>
              <w:t>Z</w:t>
            </w:r>
            <w:r w:rsidR="002A7510" w:rsidRPr="000C70A8">
              <w:rPr>
                <w:b/>
              </w:rPr>
              <w:t>mena</w:t>
            </w:r>
          </w:p>
        </w:tc>
      </w:tr>
      <w:tr w:rsidR="002A7510" w:rsidRPr="000C70A8" w14:paraId="5A3D408C" w14:textId="77777777" w:rsidTr="00A477BC">
        <w:trPr>
          <w:jc w:val="center"/>
        </w:trPr>
        <w:tc>
          <w:tcPr>
            <w:tcW w:w="1387" w:type="dxa"/>
          </w:tcPr>
          <w:p w14:paraId="1386AD02" w14:textId="77777777" w:rsidR="002A7510" w:rsidRPr="000C70A8" w:rsidRDefault="002A7510" w:rsidP="00A477BC">
            <w:pPr>
              <w:spacing w:before="20" w:after="20"/>
              <w:jc w:val="both"/>
              <w:rPr>
                <w:b/>
              </w:rPr>
            </w:pPr>
            <w:r w:rsidRPr="000C70A8">
              <w:rPr>
                <w:b/>
                <w:color w:val="008000"/>
              </w:rPr>
              <w:t xml:space="preserve">vývoz  </w:t>
            </w:r>
            <w:r w:rsidRPr="000C70A8">
              <w:rPr>
                <w:b/>
              </w:rPr>
              <w:t xml:space="preserve">                  </w:t>
            </w:r>
          </w:p>
        </w:tc>
        <w:tc>
          <w:tcPr>
            <w:tcW w:w="2790" w:type="dxa"/>
          </w:tcPr>
          <w:p w14:paraId="30A7E797" w14:textId="77777777" w:rsidR="002A7510" w:rsidRPr="000C70A8" w:rsidRDefault="002A7510" w:rsidP="00A477BC">
            <w:pPr>
              <w:rPr>
                <w:b/>
                <w:color w:val="008000"/>
              </w:rPr>
            </w:pPr>
            <w:r w:rsidRPr="000C70A8">
              <w:rPr>
                <w:b/>
                <w:color w:val="008000"/>
              </w:rPr>
              <w:t xml:space="preserve">          67 679,9 mil. €</w:t>
            </w:r>
          </w:p>
        </w:tc>
        <w:tc>
          <w:tcPr>
            <w:tcW w:w="2774" w:type="dxa"/>
          </w:tcPr>
          <w:p w14:paraId="346C58BC" w14:textId="77777777" w:rsidR="002A7510" w:rsidRPr="000C70A8" w:rsidRDefault="002A7510" w:rsidP="00A477BC">
            <w:pPr>
              <w:spacing w:before="20" w:after="20"/>
              <w:rPr>
                <w:b/>
                <w:color w:val="008000"/>
              </w:rPr>
            </w:pPr>
            <w:r w:rsidRPr="000C70A8">
              <w:rPr>
                <w:b/>
                <w:color w:val="008000"/>
              </w:rPr>
              <w:t xml:space="preserve">        70 073,9 mil. €</w:t>
            </w:r>
          </w:p>
        </w:tc>
        <w:tc>
          <w:tcPr>
            <w:tcW w:w="1971" w:type="dxa"/>
          </w:tcPr>
          <w:p w14:paraId="3B94E5B6" w14:textId="77777777" w:rsidR="002A7510" w:rsidRPr="000C70A8" w:rsidRDefault="002A7510" w:rsidP="000C70A8">
            <w:pPr>
              <w:spacing w:before="20" w:after="20"/>
              <w:ind w:firstLineChars="245" w:firstLine="590"/>
              <w:jc w:val="center"/>
              <w:rPr>
                <w:b/>
                <w:color w:val="008000"/>
              </w:rPr>
            </w:pPr>
            <w:r w:rsidRPr="000C70A8">
              <w:rPr>
                <w:b/>
                <w:color w:val="008000"/>
              </w:rPr>
              <w:t>3,5 %</w:t>
            </w:r>
          </w:p>
        </w:tc>
      </w:tr>
      <w:tr w:rsidR="002A7510" w:rsidRPr="000C70A8" w14:paraId="3B9E9750" w14:textId="77777777" w:rsidTr="00A477BC">
        <w:trPr>
          <w:jc w:val="center"/>
        </w:trPr>
        <w:tc>
          <w:tcPr>
            <w:tcW w:w="1387" w:type="dxa"/>
          </w:tcPr>
          <w:p w14:paraId="7AE214FF" w14:textId="77777777" w:rsidR="002A7510" w:rsidRPr="000C70A8" w:rsidRDefault="002A7510" w:rsidP="00A477BC">
            <w:pPr>
              <w:spacing w:before="20" w:after="20"/>
              <w:jc w:val="both"/>
              <w:rPr>
                <w:b/>
                <w:color w:val="0000FF"/>
              </w:rPr>
            </w:pPr>
            <w:r w:rsidRPr="000C70A8">
              <w:rPr>
                <w:b/>
                <w:color w:val="0000FF"/>
              </w:rPr>
              <w:t xml:space="preserve">dovoz                    </w:t>
            </w:r>
          </w:p>
        </w:tc>
        <w:tc>
          <w:tcPr>
            <w:tcW w:w="2790" w:type="dxa"/>
          </w:tcPr>
          <w:p w14:paraId="4E4C682E" w14:textId="77777777" w:rsidR="002A7510" w:rsidRPr="000C70A8" w:rsidRDefault="002A7510" w:rsidP="00A477BC">
            <w:pPr>
              <w:rPr>
                <w:b/>
                <w:color w:val="0000FF"/>
              </w:rPr>
            </w:pPr>
            <w:r w:rsidRPr="000C70A8">
              <w:rPr>
                <w:b/>
                <w:color w:val="0000FF"/>
              </w:rPr>
              <w:t xml:space="preserve">          64 360,7 mil. €</w:t>
            </w:r>
          </w:p>
        </w:tc>
        <w:tc>
          <w:tcPr>
            <w:tcW w:w="2774" w:type="dxa"/>
          </w:tcPr>
          <w:p w14:paraId="64459BFA" w14:textId="77777777" w:rsidR="002A7510" w:rsidRPr="000C70A8" w:rsidRDefault="002A7510" w:rsidP="00A477BC">
            <w:pPr>
              <w:spacing w:before="20" w:after="20"/>
              <w:rPr>
                <w:b/>
                <w:color w:val="0000FF"/>
              </w:rPr>
            </w:pPr>
            <w:r w:rsidRPr="000C70A8">
              <w:rPr>
                <w:b/>
                <w:color w:val="0000FF"/>
              </w:rPr>
              <w:t xml:space="preserve">        66 401,8 mil. €</w:t>
            </w:r>
          </w:p>
        </w:tc>
        <w:tc>
          <w:tcPr>
            <w:tcW w:w="1971" w:type="dxa"/>
          </w:tcPr>
          <w:p w14:paraId="5D7DBBE8" w14:textId="77777777" w:rsidR="002A7510" w:rsidRPr="000C70A8" w:rsidRDefault="002A7510" w:rsidP="000C70A8">
            <w:pPr>
              <w:spacing w:before="20" w:after="20"/>
              <w:ind w:firstLineChars="245" w:firstLine="590"/>
              <w:jc w:val="center"/>
              <w:rPr>
                <w:b/>
                <w:color w:val="0000FF"/>
              </w:rPr>
            </w:pPr>
            <w:r w:rsidRPr="000C70A8">
              <w:rPr>
                <w:b/>
                <w:color w:val="0000FF"/>
              </w:rPr>
              <w:t>3,2 %</w:t>
            </w:r>
          </w:p>
        </w:tc>
      </w:tr>
      <w:tr w:rsidR="002A7510" w:rsidRPr="000C70A8" w14:paraId="3F2CE9FB" w14:textId="77777777" w:rsidTr="00A477BC">
        <w:trPr>
          <w:jc w:val="center"/>
        </w:trPr>
        <w:tc>
          <w:tcPr>
            <w:tcW w:w="1387" w:type="dxa"/>
          </w:tcPr>
          <w:p w14:paraId="4E1F9E58" w14:textId="77777777" w:rsidR="002A7510" w:rsidRPr="000C70A8" w:rsidRDefault="002A7510" w:rsidP="00A477BC">
            <w:pPr>
              <w:spacing w:before="20" w:after="20"/>
              <w:jc w:val="both"/>
              <w:rPr>
                <w:b/>
              </w:rPr>
            </w:pPr>
            <w:r w:rsidRPr="000C70A8">
              <w:rPr>
                <w:b/>
              </w:rPr>
              <w:t xml:space="preserve">bilancia                   </w:t>
            </w:r>
          </w:p>
        </w:tc>
        <w:tc>
          <w:tcPr>
            <w:tcW w:w="2790" w:type="dxa"/>
          </w:tcPr>
          <w:p w14:paraId="2E0A7E58" w14:textId="77777777" w:rsidR="002A7510" w:rsidRPr="000C70A8" w:rsidRDefault="002A7510" w:rsidP="00A477BC">
            <w:pPr>
              <w:jc w:val="center"/>
              <w:rPr>
                <w:b/>
              </w:rPr>
            </w:pPr>
            <w:r w:rsidRPr="000C70A8">
              <w:rPr>
                <w:b/>
              </w:rPr>
              <w:t>3 319,2 mil. €</w:t>
            </w:r>
          </w:p>
        </w:tc>
        <w:tc>
          <w:tcPr>
            <w:tcW w:w="2774" w:type="dxa"/>
          </w:tcPr>
          <w:p w14:paraId="639DD0C8" w14:textId="77777777" w:rsidR="002A7510" w:rsidRPr="000C70A8" w:rsidRDefault="002A7510" w:rsidP="00A477BC">
            <w:pPr>
              <w:spacing w:before="20" w:after="20"/>
              <w:rPr>
                <w:b/>
              </w:rPr>
            </w:pPr>
            <w:r w:rsidRPr="000C70A8">
              <w:rPr>
                <w:b/>
              </w:rPr>
              <w:t xml:space="preserve">          3 672,1 mil. €</w:t>
            </w:r>
          </w:p>
        </w:tc>
        <w:tc>
          <w:tcPr>
            <w:tcW w:w="1971" w:type="dxa"/>
          </w:tcPr>
          <w:p w14:paraId="385F6831" w14:textId="77777777" w:rsidR="002A7510" w:rsidRPr="000C70A8" w:rsidRDefault="002A7510" w:rsidP="00A477BC">
            <w:pPr>
              <w:spacing w:before="20" w:after="20"/>
              <w:rPr>
                <w:b/>
              </w:rPr>
            </w:pPr>
            <w:r w:rsidRPr="000C70A8">
              <w:rPr>
                <w:b/>
              </w:rPr>
              <w:t xml:space="preserve">      352,9 mil. €</w:t>
            </w:r>
          </w:p>
        </w:tc>
      </w:tr>
    </w:tbl>
    <w:p w14:paraId="03102AE0" w14:textId="77777777" w:rsidR="00955F14" w:rsidRDefault="00955F14" w:rsidP="00955F14">
      <w:pPr>
        <w:tabs>
          <w:tab w:val="left" w:pos="709"/>
        </w:tabs>
        <w:spacing w:after="120"/>
        <w:jc w:val="both"/>
        <w:rPr>
          <w:b/>
        </w:rPr>
      </w:pPr>
      <w:r w:rsidRPr="000C70A8">
        <w:t>Zdroj údajov: Štatistický úrad SR</w:t>
      </w:r>
      <w:r w:rsidRPr="000C70A8">
        <w:rPr>
          <w:b/>
        </w:rPr>
        <w:t xml:space="preserve"> </w:t>
      </w:r>
    </w:p>
    <w:p w14:paraId="12522F7E" w14:textId="4C023B4C" w:rsidR="002A7510" w:rsidRPr="000C70A8" w:rsidRDefault="002A7510" w:rsidP="002A7510">
      <w:pPr>
        <w:tabs>
          <w:tab w:val="left" w:pos="709"/>
        </w:tabs>
        <w:spacing w:after="120"/>
        <w:ind w:firstLine="709"/>
        <w:jc w:val="both"/>
      </w:pPr>
      <w:r w:rsidRPr="000C70A8">
        <w:rPr>
          <w:b/>
        </w:rPr>
        <w:t xml:space="preserve">Saldo zahraničného </w:t>
      </w:r>
      <w:r w:rsidRPr="000C70A8">
        <w:t xml:space="preserve">obchodu za </w:t>
      </w:r>
      <w:r w:rsidRPr="000C70A8">
        <w:rPr>
          <w:i/>
        </w:rPr>
        <w:t>rok 2016</w:t>
      </w:r>
      <w:r w:rsidRPr="000C70A8">
        <w:t xml:space="preserve"> bolo aktívne v objeme 3 851,0 mil. € (o 352,9 mil. € vyššie ako v roku 2015). </w:t>
      </w:r>
      <w:r w:rsidRPr="000C70A8">
        <w:rPr>
          <w:b/>
        </w:rPr>
        <w:t>Najvyššie aktívne saldo</w:t>
      </w:r>
      <w:r w:rsidRPr="000C70A8">
        <w:t xml:space="preserve"> mala SR s Nemeckom </w:t>
      </w:r>
      <w:r w:rsidR="0006283F">
        <w:br/>
      </w:r>
      <w:r w:rsidRPr="000C70A8">
        <w:t xml:space="preserve">(4 204,8 mil. €), Spojeným kráľovstvom (2 940,5 mil. €), Francúzskom (2 262,1 mil. €), Rakúskom (2 057,2 mil. €), Poľskom (1 885,3 mil. €), Českou republikou (1 260,5 mil. €), Talianskom (1 236,4 mil. €), Španielskom (1 126,6 mil. €), Holandskom (1 062,7 mil. €) </w:t>
      </w:r>
      <w:r w:rsidR="0006283F">
        <w:br/>
      </w:r>
      <w:r w:rsidRPr="000C70A8">
        <w:t xml:space="preserve">a Spojenými štátmi americkými (1 007,6 mil. €). </w:t>
      </w:r>
      <w:r w:rsidRPr="000C70A8">
        <w:rPr>
          <w:b/>
        </w:rPr>
        <w:t>Najväčšie pasívne saldo</w:t>
      </w:r>
      <w:r w:rsidRPr="000C70A8">
        <w:t xml:space="preserve"> bolo v zahranično-obchodnej činnosti s Čínou (4 426,8 mil. €), Kórejskou republikou (3 805,4 mil. €), Ruskou federáciou (1 281,7 mil. €), Taiwanom (508,3 mil. €), Japonskom (496,3 mil. €), Malajziou (366,8 mil. €), Indiou (212,5 mil. €) a Írskom (91,5 mil. €).</w:t>
      </w:r>
    </w:p>
    <w:p w14:paraId="75F4C16C" w14:textId="669C8EAD" w:rsidR="002A7510" w:rsidRPr="000C70A8" w:rsidRDefault="002A7510" w:rsidP="002A7510">
      <w:pPr>
        <w:tabs>
          <w:tab w:val="left" w:pos="709"/>
        </w:tabs>
        <w:jc w:val="both"/>
      </w:pPr>
      <w:r w:rsidRPr="000C70A8">
        <w:tab/>
      </w:r>
      <w:r w:rsidRPr="000C70A8">
        <w:rPr>
          <w:b/>
        </w:rPr>
        <w:t>Zo SR sa vyviezol tovar</w:t>
      </w:r>
      <w:r w:rsidRPr="000C70A8">
        <w:t xml:space="preserve"> v hodnote 70 073,9 mil. €. V porovnaní s rovnakým obdobím roku 2015 sa zvýšil celkový vývoz o 3,5 %. Vývoz agropotravinárskych produktov </w:t>
      </w:r>
      <w:r w:rsidRPr="000C70A8">
        <w:lastRenderedPageBreak/>
        <w:t xml:space="preserve">kapitoly 1-24 harmonizovaného systému dosiahol hodnotu 2 829,8 mil. € pri medziročnom náraste o 1,1 %. </w:t>
      </w:r>
      <w:r w:rsidRPr="000C70A8">
        <w:rPr>
          <w:b/>
        </w:rPr>
        <w:t>Z komoditného hľadiska vzrástol vývoz</w:t>
      </w:r>
      <w:r w:rsidRPr="000C70A8">
        <w:t xml:space="preserve"> osobných automobilov a iných motorových vozidiel o 1 503,3 mil. €, častí, súčastí a príslušenstva motorových vozidiel o 460,2 mil. €, monitorov a projektorov, televíznych prijímačov o 366,2 mil. €, ropných plynov a iných plynných uhľovodíkov o 269,1 mil. € a plochých valcovaných výrobkov </w:t>
      </w:r>
      <w:r w:rsidR="0006283F">
        <w:br/>
      </w:r>
      <w:r w:rsidRPr="000C70A8">
        <w:t xml:space="preserve">z ostatnej legovanej ocele o 137,3 mil. €. </w:t>
      </w:r>
      <w:r w:rsidRPr="000C70A8">
        <w:rPr>
          <w:b/>
        </w:rPr>
        <w:t>Najviac klesol vývoz</w:t>
      </w:r>
      <w:r w:rsidRPr="000C70A8">
        <w:t xml:space="preserve"> ropných olejov a olejov získaných z bitúmenových nerastov, iných ako surových o 406,9 mil. €, karosérií motorových vozidiel o 370,9 mil. €, telefónnych súprav vrátane telefónov pre celulárnu sieť o 211,4 mil. €, plochých valcovaných výrobkov zo železa alebo nelegovanej ocele, </w:t>
      </w:r>
      <w:proofErr w:type="spellStart"/>
      <w:r w:rsidRPr="000C70A8">
        <w:t>plátovaných</w:t>
      </w:r>
      <w:proofErr w:type="spellEnd"/>
      <w:r w:rsidRPr="000C70A8">
        <w:t xml:space="preserve"> o 168,5 mil. € a otáčkomerov, počítačov výrobkov, taxametrov, meračov ubehnutej dráhy, </w:t>
      </w:r>
      <w:proofErr w:type="spellStart"/>
      <w:r w:rsidRPr="000C70A8">
        <w:t>krokomerov</w:t>
      </w:r>
      <w:proofErr w:type="spellEnd"/>
      <w:r w:rsidRPr="000C70A8">
        <w:t xml:space="preserve"> o 110,3 mil. €. </w:t>
      </w:r>
      <w:r w:rsidRPr="000C70A8">
        <w:rPr>
          <w:b/>
        </w:rPr>
        <w:t>Z teritoriálneho hľadiska vzrástol vývoz</w:t>
      </w:r>
      <w:r w:rsidRPr="000C70A8">
        <w:t xml:space="preserve"> do Nemecka o 1 %, Francúzska o 13,5 %, Spojeného kráľovstva o 13,1 %, Maďarska o 2,8 %, Talianska o 10,6 %, Španielska o 11,2 %, Holandska o 22,5 %, Spojených štátov amerických o 16,3 % a Rumunska o 6,1 %. </w:t>
      </w:r>
      <w:r w:rsidRPr="000C70A8">
        <w:rPr>
          <w:b/>
        </w:rPr>
        <w:t>Znížil sa vývoz</w:t>
      </w:r>
      <w:r w:rsidRPr="000C70A8">
        <w:t xml:space="preserve"> do Českej republiky o 1,2 %, Poľska o 5,2 %, Rakúska o 1,5 % a Ruskej federácie o 4,4 %.  </w:t>
      </w:r>
      <w:r w:rsidRPr="000C70A8">
        <w:rPr>
          <w:b/>
        </w:rPr>
        <w:t>Z pohľadu</w:t>
      </w:r>
      <w:r w:rsidRPr="000C70A8">
        <w:t xml:space="preserve"> </w:t>
      </w:r>
      <w:r w:rsidRPr="000C70A8">
        <w:rPr>
          <w:b/>
        </w:rPr>
        <w:t>ekonomických zoskupení sa zvýšil vývoz</w:t>
      </w:r>
      <w:r w:rsidRPr="000C70A8">
        <w:t xml:space="preserve"> do krajín EÚ </w:t>
      </w:r>
      <w:r w:rsidR="0006283F">
        <w:br/>
      </w:r>
      <w:r w:rsidRPr="000C70A8">
        <w:t>o 3,5 % (tvoril 85,2 % celkového vývozu SR) a do krajín OECD o 3,9 % (na celkovom vývoze SR sa podieľal 88,6 %).</w:t>
      </w:r>
    </w:p>
    <w:p w14:paraId="1F1A7989" w14:textId="77777777" w:rsidR="0006283F" w:rsidRDefault="002A7510" w:rsidP="002A7510">
      <w:pPr>
        <w:tabs>
          <w:tab w:val="left" w:pos="540"/>
        </w:tabs>
        <w:jc w:val="both"/>
      </w:pPr>
      <w:r w:rsidRPr="000C70A8">
        <w:tab/>
      </w:r>
    </w:p>
    <w:p w14:paraId="49AD4578" w14:textId="225A10E7" w:rsidR="002A7510" w:rsidRDefault="0006283F" w:rsidP="002A7510">
      <w:pPr>
        <w:tabs>
          <w:tab w:val="left" w:pos="540"/>
        </w:tabs>
        <w:jc w:val="both"/>
      </w:pPr>
      <w:r>
        <w:tab/>
      </w:r>
      <w:r>
        <w:tab/>
      </w:r>
      <w:r w:rsidR="002A7510" w:rsidRPr="000C70A8">
        <w:rPr>
          <w:b/>
        </w:rPr>
        <w:t>Do SR sa doviezol tovar</w:t>
      </w:r>
      <w:r w:rsidR="002A7510" w:rsidRPr="000C70A8">
        <w:t xml:space="preserve"> v hodnote 66 401,8 mil. €, pri medziročnom náraste o 3,2 %. Dovoz agropotravinárskych produktov kapitoly 1-24 harmonizovaného systému dosiahol hodnotu 4 103,3 mil. € pri medziročnom náraste o 6,7 %. </w:t>
      </w:r>
      <w:r w:rsidR="002A7510" w:rsidRPr="000C70A8">
        <w:rPr>
          <w:b/>
        </w:rPr>
        <w:t>Z tovarového hľadiska</w:t>
      </w:r>
      <w:r w:rsidR="002A7510" w:rsidRPr="000C70A8">
        <w:t xml:space="preserve"> najviac </w:t>
      </w:r>
      <w:r w:rsidR="002A7510" w:rsidRPr="000C70A8">
        <w:rPr>
          <w:b/>
        </w:rPr>
        <w:t>vzrástol dovoz</w:t>
      </w:r>
      <w:r w:rsidR="002A7510" w:rsidRPr="000C70A8">
        <w:t xml:space="preserve"> častí, súčastí a príslušenstva motorových vozidiel o 416,4 mil. €, osobných automobilov a iných motorových vozidiel o 374,8 mil. €, sedadiel, tiež premeniteľných </w:t>
      </w:r>
      <w:r>
        <w:br/>
      </w:r>
      <w:r w:rsidR="002A7510" w:rsidRPr="000C70A8">
        <w:t xml:space="preserve">na lôžka o 286,5 mil. €, zariadení a strojov elektrických, laserových alebo ultrazvukových </w:t>
      </w:r>
      <w:r>
        <w:br/>
      </w:r>
      <w:r w:rsidR="002A7510" w:rsidRPr="000C70A8">
        <w:t xml:space="preserve">o 213 mil. € a piestových vznetových motorov o 204,4 mil. €. Najviac </w:t>
      </w:r>
      <w:r w:rsidR="002A7510" w:rsidRPr="000C70A8">
        <w:rPr>
          <w:b/>
        </w:rPr>
        <w:t>klesol dovoz</w:t>
      </w:r>
      <w:r w:rsidR="002A7510" w:rsidRPr="000C70A8">
        <w:t xml:space="preserve"> ropných olejov a olejov získaných z bitúmenových nerastov, surových o 541,7 mil. €, častí a súčastí vysielacích prístrojov na rozhlasové alebo televízne vysielanie o 213,6 mil. €, železničných alebo električkových vozňov osobných a nákladných o 173,8 mil. €, ropných plynov a iných plynných uhľovodíkov o 101,5 mil. € a monitorov a projektorov, televíznych prijímačov </w:t>
      </w:r>
      <w:r>
        <w:br/>
      </w:r>
      <w:r w:rsidR="002A7510" w:rsidRPr="000C70A8">
        <w:t xml:space="preserve">o 94,9 mil. €. </w:t>
      </w:r>
      <w:r w:rsidR="002A7510" w:rsidRPr="000C70A8">
        <w:rPr>
          <w:b/>
        </w:rPr>
        <w:t>Z teritoriálneho hľadiska sa zvýšil dovoz</w:t>
      </w:r>
      <w:r w:rsidR="002A7510" w:rsidRPr="000C70A8">
        <w:t xml:space="preserve"> z Nemecka o 10 %, Poľska o 4 %, Rakúska o 13 % a Spojeného kráľovstva o 17 %. Znížil sa dovoz z Českej republiky o 2,1 %, Číny o 0,9 %, Kórejskej republiky o 7,6 %, Maďarska o 3,2 %, Ruskej federácie o 23,2 %, Talianska o 1,7 % a Francúzska o 4,3 %. </w:t>
      </w:r>
      <w:r w:rsidR="002A7510" w:rsidRPr="000C70A8">
        <w:rPr>
          <w:b/>
        </w:rPr>
        <w:t>Z hľadiska ekonomických zoskupení</w:t>
      </w:r>
      <w:r w:rsidR="002A7510" w:rsidRPr="000C70A8">
        <w:t xml:space="preserve"> sa oproti rovnakému obdobiu roku 2015 zvýšil dovoz z krajín EÚ o 6 % (tvoril 67,3 % z celkového dovozu) a z krajín OECD sa zvýšil o 3,6 % (na celkovom dovoze SR sa podieľal 66,1 %).</w:t>
      </w:r>
    </w:p>
    <w:p w14:paraId="5A610D28" w14:textId="77777777" w:rsidR="00955F14" w:rsidRPr="000C70A8" w:rsidRDefault="00955F14" w:rsidP="002A7510">
      <w:pPr>
        <w:tabs>
          <w:tab w:val="left" w:pos="540"/>
        </w:tabs>
        <w:jc w:val="both"/>
      </w:pPr>
    </w:p>
    <w:p w14:paraId="174EE264" w14:textId="77777777" w:rsidR="002A7510" w:rsidRPr="000C70A8" w:rsidRDefault="002A7510" w:rsidP="002A7510">
      <w:pPr>
        <w:tabs>
          <w:tab w:val="left" w:pos="540"/>
        </w:tabs>
        <w:spacing w:after="120"/>
        <w:jc w:val="both"/>
      </w:pPr>
      <w:r w:rsidRPr="000C70A8">
        <w:tab/>
      </w:r>
      <w:r w:rsidRPr="000C70A8">
        <w:rPr>
          <w:b/>
        </w:rPr>
        <w:t xml:space="preserve">Výsledky zahraničného obchodu za 1. polrok 2017 </w:t>
      </w:r>
      <w:r w:rsidRPr="000C70A8">
        <w:t>v porovnaní s rovnakým obdobím roku 2016 sú nasledujúce:</w:t>
      </w: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7"/>
        <w:gridCol w:w="2790"/>
        <w:gridCol w:w="2774"/>
        <w:gridCol w:w="1971"/>
      </w:tblGrid>
      <w:tr w:rsidR="002A7510" w:rsidRPr="000C70A8" w14:paraId="6B80B0D1" w14:textId="77777777" w:rsidTr="00A477BC">
        <w:trPr>
          <w:jc w:val="center"/>
        </w:trPr>
        <w:tc>
          <w:tcPr>
            <w:tcW w:w="1387" w:type="dxa"/>
            <w:shd w:val="clear" w:color="auto" w:fill="E2EFD9"/>
          </w:tcPr>
          <w:p w14:paraId="484FC8FB" w14:textId="77777777" w:rsidR="002A7510" w:rsidRPr="000C70A8" w:rsidRDefault="002A7510" w:rsidP="000C70A8">
            <w:pPr>
              <w:spacing w:before="20" w:after="20"/>
              <w:ind w:firstLineChars="245" w:firstLine="590"/>
              <w:jc w:val="both"/>
              <w:rPr>
                <w:b/>
              </w:rPr>
            </w:pPr>
          </w:p>
        </w:tc>
        <w:tc>
          <w:tcPr>
            <w:tcW w:w="2790" w:type="dxa"/>
            <w:shd w:val="clear" w:color="auto" w:fill="E2EFD9"/>
          </w:tcPr>
          <w:p w14:paraId="37DE16EE" w14:textId="77777777" w:rsidR="002A7510" w:rsidRPr="000C70A8" w:rsidRDefault="002A7510" w:rsidP="002A7510">
            <w:pPr>
              <w:pStyle w:val="Odsekzoznamu"/>
              <w:numPr>
                <w:ilvl w:val="0"/>
                <w:numId w:val="3"/>
              </w:numPr>
              <w:spacing w:before="20" w:after="20" w:line="240" w:lineRule="auto"/>
              <w:jc w:val="center"/>
              <w:rPr>
                <w:rFonts w:eastAsia="Times New Roman" w:cs="Times New Roman"/>
                <w:b/>
                <w:szCs w:val="24"/>
                <w:lang w:eastAsia="sk-SK"/>
              </w:rPr>
            </w:pPr>
            <w:r w:rsidRPr="000C70A8">
              <w:rPr>
                <w:rFonts w:eastAsia="Times New Roman" w:cs="Times New Roman"/>
                <w:b/>
                <w:szCs w:val="24"/>
                <w:lang w:eastAsia="sk-SK"/>
              </w:rPr>
              <w:t>polrok 2016</w:t>
            </w:r>
          </w:p>
        </w:tc>
        <w:tc>
          <w:tcPr>
            <w:tcW w:w="2774" w:type="dxa"/>
            <w:shd w:val="clear" w:color="auto" w:fill="E2EFD9"/>
          </w:tcPr>
          <w:p w14:paraId="5E2288D1" w14:textId="77777777" w:rsidR="002A7510" w:rsidRPr="000C70A8" w:rsidRDefault="002A7510" w:rsidP="002A7510">
            <w:pPr>
              <w:pStyle w:val="Odsekzoznamu"/>
              <w:numPr>
                <w:ilvl w:val="0"/>
                <w:numId w:val="4"/>
              </w:numPr>
              <w:spacing w:before="20" w:after="20" w:line="240" w:lineRule="auto"/>
              <w:jc w:val="center"/>
              <w:rPr>
                <w:rFonts w:eastAsia="Times New Roman" w:cs="Times New Roman"/>
                <w:b/>
                <w:szCs w:val="24"/>
                <w:lang w:eastAsia="sk-SK"/>
              </w:rPr>
            </w:pPr>
            <w:r w:rsidRPr="000C70A8">
              <w:rPr>
                <w:rFonts w:eastAsia="Times New Roman" w:cs="Times New Roman"/>
                <w:b/>
                <w:szCs w:val="24"/>
                <w:lang w:eastAsia="sk-SK"/>
              </w:rPr>
              <w:t>polrok 2017</w:t>
            </w:r>
          </w:p>
        </w:tc>
        <w:tc>
          <w:tcPr>
            <w:tcW w:w="1971" w:type="dxa"/>
            <w:shd w:val="clear" w:color="auto" w:fill="E2EFD9"/>
          </w:tcPr>
          <w:p w14:paraId="6DE7AA64" w14:textId="77777777" w:rsidR="002A7510" w:rsidRPr="000C70A8" w:rsidRDefault="002A7510" w:rsidP="000C70A8">
            <w:pPr>
              <w:spacing w:before="20" w:after="20"/>
              <w:ind w:firstLineChars="245" w:firstLine="590"/>
              <w:rPr>
                <w:b/>
              </w:rPr>
            </w:pPr>
            <w:r w:rsidRPr="000C70A8">
              <w:rPr>
                <w:b/>
              </w:rPr>
              <w:t>zmena</w:t>
            </w:r>
          </w:p>
        </w:tc>
      </w:tr>
      <w:tr w:rsidR="002A7510" w:rsidRPr="000C70A8" w14:paraId="3A1AB53C" w14:textId="77777777" w:rsidTr="00A477BC">
        <w:trPr>
          <w:jc w:val="center"/>
        </w:trPr>
        <w:tc>
          <w:tcPr>
            <w:tcW w:w="1387" w:type="dxa"/>
          </w:tcPr>
          <w:p w14:paraId="430C30BF" w14:textId="77777777" w:rsidR="002A7510" w:rsidRPr="000C70A8" w:rsidRDefault="002A7510" w:rsidP="00A477BC">
            <w:pPr>
              <w:spacing w:before="20" w:after="20"/>
              <w:jc w:val="both"/>
              <w:rPr>
                <w:b/>
              </w:rPr>
            </w:pPr>
            <w:r w:rsidRPr="000C70A8">
              <w:rPr>
                <w:b/>
                <w:color w:val="008000"/>
              </w:rPr>
              <w:t xml:space="preserve">vývoz  </w:t>
            </w:r>
            <w:r w:rsidRPr="000C70A8">
              <w:rPr>
                <w:b/>
              </w:rPr>
              <w:t xml:space="preserve">                  </w:t>
            </w:r>
          </w:p>
        </w:tc>
        <w:tc>
          <w:tcPr>
            <w:tcW w:w="2790" w:type="dxa"/>
          </w:tcPr>
          <w:p w14:paraId="45B6DBBD" w14:textId="77777777" w:rsidR="002A7510" w:rsidRPr="000C70A8" w:rsidRDefault="002A7510" w:rsidP="00A477BC">
            <w:pPr>
              <w:jc w:val="center"/>
              <w:rPr>
                <w:b/>
                <w:color w:val="008000"/>
              </w:rPr>
            </w:pPr>
            <w:r w:rsidRPr="000C70A8">
              <w:rPr>
                <w:b/>
                <w:color w:val="008000"/>
              </w:rPr>
              <w:t xml:space="preserve"> 34 779,1 mil. €</w:t>
            </w:r>
          </w:p>
        </w:tc>
        <w:tc>
          <w:tcPr>
            <w:tcW w:w="2774" w:type="dxa"/>
          </w:tcPr>
          <w:p w14:paraId="1318BF06" w14:textId="77777777" w:rsidR="002A7510" w:rsidRPr="000C70A8" w:rsidRDefault="002A7510" w:rsidP="00A477BC">
            <w:pPr>
              <w:spacing w:before="20" w:after="20"/>
              <w:rPr>
                <w:b/>
                <w:color w:val="008000"/>
              </w:rPr>
            </w:pPr>
            <w:r w:rsidRPr="000C70A8">
              <w:rPr>
                <w:b/>
                <w:color w:val="008000"/>
              </w:rPr>
              <w:t xml:space="preserve">        37 031,5 mil. €</w:t>
            </w:r>
          </w:p>
        </w:tc>
        <w:tc>
          <w:tcPr>
            <w:tcW w:w="1971" w:type="dxa"/>
          </w:tcPr>
          <w:p w14:paraId="37650918" w14:textId="77777777" w:rsidR="002A7510" w:rsidRPr="000C70A8" w:rsidRDefault="002A7510" w:rsidP="000C70A8">
            <w:pPr>
              <w:spacing w:before="20" w:after="20"/>
              <w:ind w:firstLineChars="245" w:firstLine="590"/>
              <w:jc w:val="center"/>
              <w:rPr>
                <w:b/>
                <w:color w:val="008000"/>
              </w:rPr>
            </w:pPr>
            <w:r w:rsidRPr="000C70A8">
              <w:rPr>
                <w:b/>
                <w:color w:val="008000"/>
              </w:rPr>
              <w:t>6,5 %</w:t>
            </w:r>
          </w:p>
        </w:tc>
      </w:tr>
      <w:tr w:rsidR="002A7510" w:rsidRPr="000C70A8" w14:paraId="14B4CE4B" w14:textId="77777777" w:rsidTr="00A477BC">
        <w:trPr>
          <w:jc w:val="center"/>
        </w:trPr>
        <w:tc>
          <w:tcPr>
            <w:tcW w:w="1387" w:type="dxa"/>
          </w:tcPr>
          <w:p w14:paraId="2DA79EA2" w14:textId="77777777" w:rsidR="002A7510" w:rsidRPr="000C70A8" w:rsidRDefault="002A7510" w:rsidP="00A477BC">
            <w:pPr>
              <w:spacing w:before="20" w:after="20"/>
              <w:jc w:val="both"/>
              <w:rPr>
                <w:b/>
                <w:color w:val="0000FF"/>
              </w:rPr>
            </w:pPr>
            <w:r w:rsidRPr="000C70A8">
              <w:rPr>
                <w:b/>
                <w:color w:val="0000FF"/>
              </w:rPr>
              <w:t xml:space="preserve">dovoz                    </w:t>
            </w:r>
          </w:p>
        </w:tc>
        <w:tc>
          <w:tcPr>
            <w:tcW w:w="2790" w:type="dxa"/>
          </w:tcPr>
          <w:p w14:paraId="127D6C8B" w14:textId="77777777" w:rsidR="002A7510" w:rsidRPr="000C70A8" w:rsidRDefault="002A7510" w:rsidP="00A477BC">
            <w:pPr>
              <w:rPr>
                <w:b/>
                <w:color w:val="0000FF"/>
              </w:rPr>
            </w:pPr>
            <w:r w:rsidRPr="000C70A8">
              <w:rPr>
                <w:b/>
                <w:color w:val="0000FF"/>
              </w:rPr>
              <w:t xml:space="preserve">            32 779,1 mil. €</w:t>
            </w:r>
          </w:p>
        </w:tc>
        <w:tc>
          <w:tcPr>
            <w:tcW w:w="2774" w:type="dxa"/>
          </w:tcPr>
          <w:p w14:paraId="70B9D31B" w14:textId="77777777" w:rsidR="002A7510" w:rsidRPr="000C70A8" w:rsidRDefault="002A7510" w:rsidP="00A477BC">
            <w:pPr>
              <w:spacing w:before="20" w:after="20"/>
              <w:rPr>
                <w:b/>
                <w:color w:val="0000FF"/>
              </w:rPr>
            </w:pPr>
            <w:r w:rsidRPr="000C70A8">
              <w:rPr>
                <w:b/>
                <w:color w:val="0000FF"/>
              </w:rPr>
              <w:t xml:space="preserve">        35 252,7 mil. €</w:t>
            </w:r>
          </w:p>
        </w:tc>
        <w:tc>
          <w:tcPr>
            <w:tcW w:w="1971" w:type="dxa"/>
          </w:tcPr>
          <w:p w14:paraId="23E49F02" w14:textId="77777777" w:rsidR="002A7510" w:rsidRPr="000C70A8" w:rsidRDefault="002A7510" w:rsidP="000C70A8">
            <w:pPr>
              <w:spacing w:before="20" w:after="20"/>
              <w:ind w:firstLineChars="245" w:firstLine="590"/>
              <w:jc w:val="center"/>
              <w:rPr>
                <w:b/>
                <w:color w:val="0000FF"/>
              </w:rPr>
            </w:pPr>
            <w:r w:rsidRPr="000C70A8">
              <w:rPr>
                <w:b/>
                <w:color w:val="0000FF"/>
              </w:rPr>
              <w:t>8,3 %</w:t>
            </w:r>
          </w:p>
        </w:tc>
      </w:tr>
      <w:tr w:rsidR="002A7510" w:rsidRPr="000C70A8" w14:paraId="72CED40F" w14:textId="77777777" w:rsidTr="00A477BC">
        <w:trPr>
          <w:jc w:val="center"/>
        </w:trPr>
        <w:tc>
          <w:tcPr>
            <w:tcW w:w="1387" w:type="dxa"/>
          </w:tcPr>
          <w:p w14:paraId="775AE06B" w14:textId="77777777" w:rsidR="002A7510" w:rsidRPr="000C70A8" w:rsidRDefault="002A7510" w:rsidP="00A477BC">
            <w:pPr>
              <w:spacing w:before="20" w:after="20"/>
              <w:jc w:val="both"/>
              <w:rPr>
                <w:b/>
              </w:rPr>
            </w:pPr>
            <w:r w:rsidRPr="000C70A8">
              <w:rPr>
                <w:b/>
              </w:rPr>
              <w:t xml:space="preserve">bilancia                   </w:t>
            </w:r>
          </w:p>
        </w:tc>
        <w:tc>
          <w:tcPr>
            <w:tcW w:w="2790" w:type="dxa"/>
          </w:tcPr>
          <w:p w14:paraId="74606C84" w14:textId="77777777" w:rsidR="002A7510" w:rsidRPr="000C70A8" w:rsidRDefault="002A7510" w:rsidP="00A477BC">
            <w:pPr>
              <w:jc w:val="center"/>
              <w:rPr>
                <w:b/>
              </w:rPr>
            </w:pPr>
            <w:r w:rsidRPr="000C70A8">
              <w:rPr>
                <w:b/>
              </w:rPr>
              <w:t xml:space="preserve">     2 234,0 mil. €</w:t>
            </w:r>
          </w:p>
        </w:tc>
        <w:tc>
          <w:tcPr>
            <w:tcW w:w="2774" w:type="dxa"/>
          </w:tcPr>
          <w:p w14:paraId="323009B4" w14:textId="77777777" w:rsidR="002A7510" w:rsidRPr="000C70A8" w:rsidRDefault="002A7510" w:rsidP="00A477BC">
            <w:pPr>
              <w:spacing w:before="20" w:after="20"/>
              <w:rPr>
                <w:b/>
              </w:rPr>
            </w:pPr>
            <w:r w:rsidRPr="000C70A8">
              <w:rPr>
                <w:b/>
              </w:rPr>
              <w:t xml:space="preserve">          1 778,8 mil. €</w:t>
            </w:r>
          </w:p>
        </w:tc>
        <w:tc>
          <w:tcPr>
            <w:tcW w:w="1971" w:type="dxa"/>
          </w:tcPr>
          <w:p w14:paraId="77F0FAB4" w14:textId="77777777" w:rsidR="002A7510" w:rsidRPr="000C70A8" w:rsidRDefault="002A7510" w:rsidP="00A477BC">
            <w:pPr>
              <w:spacing w:before="20" w:after="20"/>
              <w:rPr>
                <w:b/>
                <w:color w:val="FF0000"/>
              </w:rPr>
            </w:pPr>
            <w:r w:rsidRPr="000C70A8">
              <w:rPr>
                <w:b/>
              </w:rPr>
              <w:t xml:space="preserve">       </w:t>
            </w:r>
            <w:r w:rsidRPr="000C70A8">
              <w:rPr>
                <w:b/>
                <w:color w:val="FF0000"/>
              </w:rPr>
              <w:t>- 455,2 mil. €</w:t>
            </w:r>
          </w:p>
        </w:tc>
      </w:tr>
    </w:tbl>
    <w:p w14:paraId="5842A91F" w14:textId="05FAE88C" w:rsidR="00955F14" w:rsidRDefault="00955F14" w:rsidP="002A7510">
      <w:pPr>
        <w:jc w:val="both"/>
      </w:pPr>
      <w:r w:rsidRPr="000C70A8">
        <w:t>Zdroj údajov: Štatistický úrad SR</w:t>
      </w:r>
    </w:p>
    <w:p w14:paraId="05B7E914" w14:textId="77777777" w:rsidR="00955F14" w:rsidRPr="000C70A8" w:rsidRDefault="00955F14" w:rsidP="002A7510">
      <w:pPr>
        <w:jc w:val="both"/>
      </w:pPr>
    </w:p>
    <w:p w14:paraId="31FE5CF0" w14:textId="7447273C" w:rsidR="002A7510" w:rsidRPr="000C70A8" w:rsidRDefault="002A7510" w:rsidP="002A7510">
      <w:pPr>
        <w:tabs>
          <w:tab w:val="left" w:pos="0"/>
        </w:tabs>
        <w:spacing w:after="120"/>
        <w:ind w:firstLine="567"/>
        <w:jc w:val="both"/>
      </w:pPr>
      <w:r w:rsidRPr="000C70A8">
        <w:rPr>
          <w:b/>
        </w:rPr>
        <w:t>Saldo zahraničného obchodu</w:t>
      </w:r>
      <w:r w:rsidRPr="000C70A8">
        <w:t xml:space="preserve"> za 1. polrok 2017 bolo aktívne v objeme 1 778,8 mil. € (o 455,2 mil. € nižšie ako za rovnaké obdobie minulého roku). </w:t>
      </w:r>
      <w:r w:rsidRPr="000C70A8">
        <w:rPr>
          <w:b/>
        </w:rPr>
        <w:t>Najvyššie aktívne saldo</w:t>
      </w:r>
      <w:r w:rsidRPr="000C70A8">
        <w:t xml:space="preserve"> mala SR s Nemeckom (1 658,7 mil. €), Spojeným kráľovstvom (1 441,5 mil. €), Francúzskom (1 395,3 mil. €), Rakúskom (1 222 mil. €), Poľskom (1 025,1 mil. €), Talianskom (853,5 mil. €), Českou republikou (698,9 mil. €), Spojenými štátmi americkými (654,3 mil. €) </w:t>
      </w:r>
      <w:r w:rsidR="0006283F">
        <w:br/>
      </w:r>
      <w:r w:rsidRPr="000C70A8">
        <w:lastRenderedPageBreak/>
        <w:t xml:space="preserve">a Španielskom (593,8 mil. €). </w:t>
      </w:r>
      <w:r w:rsidRPr="000C70A8">
        <w:rPr>
          <w:b/>
        </w:rPr>
        <w:t>Najväčšie pasívne saldo</w:t>
      </w:r>
      <w:r w:rsidRPr="000C70A8">
        <w:t xml:space="preserve"> bolo s Čínou (2 015 mil. €), Kórejskou republikou (1 904,4 mil. €), Ruskou federáciou (934,9 mil. €), Taiwanom (237,4 mil. €), Japonskom (227,6 mil. €), Malajziou (201,5 mil. €), Indiou (120,1 mil. €) a Ukrajinou (105,7 mil. €).</w:t>
      </w:r>
    </w:p>
    <w:p w14:paraId="06403C5B" w14:textId="08F7D3F1" w:rsidR="002A7510" w:rsidRPr="000C70A8" w:rsidRDefault="002A7510" w:rsidP="002A7510">
      <w:pPr>
        <w:spacing w:before="120" w:after="60"/>
        <w:ind w:firstLine="567"/>
        <w:jc w:val="both"/>
        <w:rPr>
          <w:lang w:eastAsia="cs-CZ"/>
        </w:rPr>
      </w:pPr>
      <w:r w:rsidRPr="000C70A8">
        <w:rPr>
          <w:b/>
          <w:lang w:eastAsia="cs-CZ"/>
        </w:rPr>
        <w:t>Zo SR sa vyviezol tovar</w:t>
      </w:r>
      <w:r w:rsidRPr="000C70A8">
        <w:rPr>
          <w:lang w:eastAsia="cs-CZ"/>
        </w:rPr>
        <w:t xml:space="preserve"> v hodnote 37 031,5 mil. €. V porovnaní s rovnakým obdobím roku 2016 sa zvýšil celkový vývoz o 6,5 %. Vývoz agropotravinárskych produktov kapitol </w:t>
      </w:r>
      <w:r w:rsidR="0006283F">
        <w:rPr>
          <w:lang w:eastAsia="cs-CZ"/>
        </w:rPr>
        <w:br/>
      </w:r>
      <w:r w:rsidRPr="000C70A8">
        <w:rPr>
          <w:lang w:eastAsia="cs-CZ"/>
        </w:rPr>
        <w:t xml:space="preserve">1-24 Harmonizovaného systému dosiahol hodnotu 1 429,3 mil. € pri medziročnom náraste </w:t>
      </w:r>
      <w:r w:rsidR="0006283F">
        <w:rPr>
          <w:lang w:eastAsia="cs-CZ"/>
        </w:rPr>
        <w:br/>
      </w:r>
      <w:r w:rsidRPr="000C70A8">
        <w:rPr>
          <w:lang w:eastAsia="cs-CZ"/>
        </w:rPr>
        <w:t xml:space="preserve">o 5 %. </w:t>
      </w:r>
      <w:r w:rsidRPr="000C70A8">
        <w:rPr>
          <w:b/>
          <w:lang w:eastAsia="cs-CZ"/>
        </w:rPr>
        <w:t>Z tovarového hľadiska</w:t>
      </w:r>
      <w:r w:rsidRPr="000C70A8">
        <w:rPr>
          <w:lang w:eastAsia="cs-CZ"/>
        </w:rPr>
        <w:t xml:space="preserve"> </w:t>
      </w:r>
      <w:r w:rsidRPr="000C70A8">
        <w:rPr>
          <w:b/>
          <w:lang w:eastAsia="cs-CZ"/>
        </w:rPr>
        <w:t>vzrástol vývoz</w:t>
      </w:r>
      <w:r w:rsidRPr="000C70A8">
        <w:rPr>
          <w:lang w:eastAsia="cs-CZ"/>
        </w:rPr>
        <w:t xml:space="preserve"> osobných automobilov a iných motorových vozidiel konštruovaných hlavne na prepravu osôb o 353,7 mil. €, telefónnych súprav, vrátane telefónov pre celulárnu sieť o 237,4 mil. €, ropných olejov a olejov získaných z bitúmenových nerastov, iných ako surových o 205,3 mil. € a plochých valcovaných výrobkov zo železa alebo nelegovanej ocele, valcovaných za tepla o 150,2 mil. €.  Najviac </w:t>
      </w:r>
      <w:r w:rsidRPr="000C70A8">
        <w:rPr>
          <w:b/>
          <w:lang w:eastAsia="cs-CZ"/>
        </w:rPr>
        <w:t>klesol vývoz</w:t>
      </w:r>
      <w:r w:rsidRPr="000C70A8">
        <w:rPr>
          <w:lang w:eastAsia="cs-CZ"/>
        </w:rPr>
        <w:t xml:space="preserve"> karosérií motorových vozidiel o 653,5 mil. €, liekov o 113,2 mil. €, monitorov a projektorov, televíznych prijímačov o 81 mil. €, strojov na automatické spracovanie údajov a ich jednotiek o 53 mil. € a plochých valcovaných výrobkov zo železa alebo z nelegovanej ocele, </w:t>
      </w:r>
      <w:proofErr w:type="spellStart"/>
      <w:r w:rsidRPr="000C70A8">
        <w:rPr>
          <w:lang w:eastAsia="cs-CZ"/>
        </w:rPr>
        <w:t>plátovaných</w:t>
      </w:r>
      <w:proofErr w:type="spellEnd"/>
      <w:r w:rsidRPr="000C70A8">
        <w:rPr>
          <w:lang w:eastAsia="cs-CZ"/>
        </w:rPr>
        <w:t xml:space="preserve"> o 35,5 mil. €.  </w:t>
      </w:r>
      <w:r w:rsidRPr="000C70A8">
        <w:rPr>
          <w:b/>
          <w:lang w:eastAsia="cs-CZ"/>
        </w:rPr>
        <w:t>Z teritoriálneho  hľadiska vzrástol vývoz</w:t>
      </w:r>
      <w:r w:rsidRPr="000C70A8">
        <w:rPr>
          <w:lang w:eastAsia="cs-CZ"/>
        </w:rPr>
        <w:t xml:space="preserve"> do Českej republiky </w:t>
      </w:r>
      <w:r w:rsidR="0006283F">
        <w:rPr>
          <w:lang w:eastAsia="cs-CZ"/>
        </w:rPr>
        <w:br/>
      </w:r>
      <w:r w:rsidRPr="000C70A8">
        <w:rPr>
          <w:lang w:eastAsia="cs-CZ"/>
        </w:rPr>
        <w:t xml:space="preserve">o 4,3 %, Poľska o 3,8 %, Francúzska o 14,3 %, Spojeného kráľovstva o 12,7 %, Rakúska o 14,8 %, Maďarska o 19,3 %, Talianska o 15,3 %, Španielska o 0,8 %, Spojených štátov amerických o 30,5 %, Holandska o 14,3 %,  Rumunska o 16,4 % a Ruskej federácie o 33,3 %. Znížil sa vývoz do Nemecka o 3,8 %. Z pohľadu </w:t>
      </w:r>
      <w:r w:rsidRPr="000C70A8">
        <w:rPr>
          <w:b/>
          <w:lang w:eastAsia="cs-CZ"/>
        </w:rPr>
        <w:t>hlavných ekonomických zoskupení</w:t>
      </w:r>
      <w:r w:rsidRPr="000C70A8">
        <w:rPr>
          <w:lang w:eastAsia="cs-CZ"/>
        </w:rPr>
        <w:t xml:space="preserve"> sa zvýšil vývoz do krajín EÚ o 6,1 % (tvoril 85,1 % celkového vývozu SR) a do krajín OECD </w:t>
      </w:r>
      <w:r w:rsidR="0006283F">
        <w:rPr>
          <w:lang w:eastAsia="cs-CZ"/>
        </w:rPr>
        <w:br/>
      </w:r>
      <w:r w:rsidRPr="000C70A8">
        <w:rPr>
          <w:lang w:eastAsia="cs-CZ"/>
        </w:rPr>
        <w:t xml:space="preserve">o 5,9 % (na celkovom vývoze SR sa podieľal 88,8 %).  </w:t>
      </w:r>
    </w:p>
    <w:p w14:paraId="7611E95A" w14:textId="03A12F96" w:rsidR="002A7510" w:rsidRPr="000C70A8" w:rsidRDefault="002A7510" w:rsidP="00955F14">
      <w:pPr>
        <w:spacing w:before="120" w:after="60"/>
        <w:ind w:firstLine="567"/>
        <w:jc w:val="both"/>
      </w:pPr>
      <w:r w:rsidRPr="000C70A8">
        <w:t xml:space="preserve">Do  SR sa </w:t>
      </w:r>
      <w:r w:rsidRPr="000C70A8">
        <w:rPr>
          <w:b/>
        </w:rPr>
        <w:t>doviezol tovar</w:t>
      </w:r>
      <w:r w:rsidRPr="000C70A8">
        <w:t xml:space="preserve"> v hodnote 35 252,7 mil. € pri medziročnom raste o 8,3 %. Dovoz agropotravinárskych produktov kapitol 1-24 Harmonizovaného systému dosiahol hodnotu 2 059,7 mil. € pri medziročnom náraste o 1 %.</w:t>
      </w:r>
      <w:r w:rsidRPr="000C70A8">
        <w:rPr>
          <w:lang w:eastAsia="cs-CZ"/>
        </w:rPr>
        <w:t xml:space="preserve"> </w:t>
      </w:r>
      <w:r w:rsidRPr="000C70A8">
        <w:rPr>
          <w:b/>
        </w:rPr>
        <w:t xml:space="preserve">Z tovarového hľadiska vzrástol dovoz </w:t>
      </w:r>
      <w:r w:rsidRPr="000C70A8">
        <w:t>ropných olejov a olejov získaných z bitúmenových nerastov, surových o 248,3 mil. €, častí a súčastí vhodných pre vysielacie prístroje pre rádiotelefóniu, rozhlasové a televízne vysielanie o 222,3 mil. €, osobných automobilov a iných motorových vozidiel konštruovaných hlavne na prepravu osôb o 222,2 mil. € a  monitorov a projektorov, televíznych prijímačov o 193,76 mil. €.</w:t>
      </w:r>
      <w:r w:rsidRPr="000C70A8">
        <w:rPr>
          <w:lang w:eastAsia="cs-CZ"/>
        </w:rPr>
        <w:t xml:space="preserve"> </w:t>
      </w:r>
      <w:r w:rsidRPr="000C70A8">
        <w:t xml:space="preserve">Významne </w:t>
      </w:r>
      <w:r w:rsidRPr="000C70A8">
        <w:rPr>
          <w:b/>
        </w:rPr>
        <w:t>klesol dovoz</w:t>
      </w:r>
      <w:r w:rsidRPr="000C70A8">
        <w:t xml:space="preserve"> strojov na automatické spracovanie údajov a ich jednotiek o 130,5 mil. €, častí, súčastí a príslušenstva motorových vozidiel o 124,5 mil. €, výrobkov s tekutými kryštálmi o 95,2 mil. € a prúdových motorov </w:t>
      </w:r>
      <w:r w:rsidR="0006283F">
        <w:br/>
      </w:r>
      <w:r w:rsidRPr="000C70A8">
        <w:t>s kompresorom o 72,6 mil. €.</w:t>
      </w:r>
      <w:r w:rsidRPr="000C70A8">
        <w:rPr>
          <w:lang w:eastAsia="cs-CZ"/>
        </w:rPr>
        <w:t xml:space="preserve"> </w:t>
      </w:r>
      <w:r w:rsidRPr="000C70A8">
        <w:rPr>
          <w:b/>
        </w:rPr>
        <w:t>Z teritoriálneho hľadiska vzrástol dovoz</w:t>
      </w:r>
      <w:r w:rsidRPr="000C70A8">
        <w:t xml:space="preserve"> z Nemecka o 6,9 %, Poľska o 1,4 %,  Maďarska o 10,3 %, Ruskej federácie o 38,9 %, Francúzska o 7,9 %, Talianska o 1,1 % a Spojeného kráľovstva o 64,2 %. </w:t>
      </w:r>
      <w:r w:rsidRPr="000C70A8">
        <w:rPr>
          <w:b/>
        </w:rPr>
        <w:t>Poklesol dovoz z</w:t>
      </w:r>
      <w:r w:rsidRPr="000C70A8">
        <w:t xml:space="preserve"> Českej republiky </w:t>
      </w:r>
      <w:r w:rsidR="0006283F">
        <w:br/>
      </w:r>
      <w:r w:rsidRPr="000C70A8">
        <w:t>o 3 %, Číny o 3,9 %, Kórejskej republiky o 2,7 % a Rakúska o 2,9 %.</w:t>
      </w:r>
      <w:r w:rsidRPr="000C70A8">
        <w:rPr>
          <w:lang w:eastAsia="cs-CZ"/>
        </w:rPr>
        <w:t xml:space="preserve"> </w:t>
      </w:r>
      <w:r w:rsidRPr="000C70A8">
        <w:rPr>
          <w:b/>
        </w:rPr>
        <w:t>Z hľadiska hlavných ekonomických zoskupení</w:t>
      </w:r>
      <w:r w:rsidRPr="000C70A8">
        <w:t xml:space="preserve"> sa oproti rovnakému obdobiu roku 2016 zvýšil dovoz z krajín EÚ o 8,8 % (tvoril 68,1 % z celkového dovozu) a z krajín OECD o 4,4 % (na celkovom dovoze SR sa podieľal 65,6 %).</w:t>
      </w:r>
    </w:p>
    <w:p w14:paraId="283212EA" w14:textId="77777777" w:rsidR="002A7510" w:rsidRPr="00FD068D" w:rsidRDefault="002A7510" w:rsidP="00386C66">
      <w:pPr>
        <w:pStyle w:val="Nadpis3"/>
        <w:rPr>
          <w:rFonts w:ascii="Times New Roman" w:hAnsi="Times New Roman" w:cs="Times New Roman"/>
          <w:color w:val="auto"/>
          <w:sz w:val="24"/>
        </w:rPr>
      </w:pPr>
      <w:bookmarkStart w:id="25" w:name="_Toc461452548"/>
      <w:bookmarkStart w:id="26" w:name="_Toc498377385"/>
      <w:bookmarkStart w:id="27" w:name="_Toc500503409"/>
      <w:r w:rsidRPr="00FD068D">
        <w:rPr>
          <w:rFonts w:ascii="Times New Roman" w:hAnsi="Times New Roman" w:cs="Times New Roman"/>
          <w:color w:val="auto"/>
          <w:sz w:val="24"/>
        </w:rPr>
        <w:t>3.1.2 Nárast počtu exportérov tovarov</w:t>
      </w:r>
      <w:bookmarkEnd w:id="25"/>
      <w:bookmarkEnd w:id="26"/>
      <w:bookmarkEnd w:id="27"/>
    </w:p>
    <w:p w14:paraId="240C602B" w14:textId="77777777" w:rsidR="002A7510" w:rsidRPr="000C70A8" w:rsidRDefault="002A7510" w:rsidP="002A7510">
      <w:pPr>
        <w:spacing w:before="120" w:after="120"/>
        <w:ind w:firstLine="709"/>
        <w:jc w:val="both"/>
      </w:pPr>
      <w:r w:rsidRPr="000C70A8">
        <w:t xml:space="preserve">V zahraničnom obchode SR vysoký </w:t>
      </w:r>
      <w:r w:rsidRPr="000C70A8">
        <w:rPr>
          <w:b/>
        </w:rPr>
        <w:t>podiel 10-tich najväčších exportérov</w:t>
      </w:r>
      <w:r w:rsidRPr="000C70A8">
        <w:t xml:space="preserve"> na celkovom vývoze klesol zo 41,4 % v roku 2015 na </w:t>
      </w:r>
      <w:r w:rsidRPr="000C70A8">
        <w:rPr>
          <w:b/>
        </w:rPr>
        <w:t>40,0%</w:t>
      </w:r>
      <w:r w:rsidRPr="000C70A8">
        <w:t xml:space="preserve"> v roku 2016. </w:t>
      </w:r>
      <w:r w:rsidRPr="000C70A8">
        <w:rPr>
          <w:b/>
        </w:rPr>
        <w:t>Podiely 50-tich najväčších exportérov</w:t>
      </w:r>
      <w:r w:rsidRPr="000C70A8">
        <w:t xml:space="preserve"> a  </w:t>
      </w:r>
      <w:r w:rsidRPr="000C70A8">
        <w:rPr>
          <w:b/>
        </w:rPr>
        <w:t>200 najväčších exportérov</w:t>
      </w:r>
      <w:r w:rsidRPr="000C70A8">
        <w:t xml:space="preserve"> v  rokoch  2015 a 2016, čo je znázornené v grafe č.1:</w:t>
      </w:r>
    </w:p>
    <w:p w14:paraId="09D21E34" w14:textId="77777777" w:rsidR="002A7510" w:rsidRPr="000C70A8" w:rsidRDefault="002A7510" w:rsidP="002A7510">
      <w:pPr>
        <w:rPr>
          <w:i/>
        </w:rPr>
      </w:pPr>
      <w:r w:rsidRPr="000C70A8">
        <w:rPr>
          <w:i/>
        </w:rPr>
        <w:t>Graf č. 1: Podiel najväčších exportérov na celkovom vývoze SR v roku 2016</w:t>
      </w:r>
    </w:p>
    <w:p w14:paraId="5CDD566E" w14:textId="17BABAD6" w:rsidR="002A7510" w:rsidRPr="000C70A8" w:rsidRDefault="00955F14" w:rsidP="002A7510">
      <w:pPr>
        <w:jc w:val="center"/>
      </w:pPr>
      <w:r w:rsidRPr="000C70A8">
        <w:rPr>
          <w:noProof/>
        </w:rPr>
        <w:drawing>
          <wp:anchor distT="0" distB="0" distL="114300" distR="114300" simplePos="0" relativeHeight="251659264" behindDoc="0" locked="0" layoutInCell="1" allowOverlap="1" wp14:anchorId="7F92F26D" wp14:editId="719E6A2C">
            <wp:simplePos x="0" y="0"/>
            <wp:positionH relativeFrom="column">
              <wp:posOffset>-42545</wp:posOffset>
            </wp:positionH>
            <wp:positionV relativeFrom="paragraph">
              <wp:posOffset>8255</wp:posOffset>
            </wp:positionV>
            <wp:extent cx="5096510" cy="2228850"/>
            <wp:effectExtent l="0" t="0" r="8890" b="0"/>
            <wp:wrapNone/>
            <wp:docPr id="58" name="Obrázo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96510" cy="2228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4993E0" w14:textId="40304B04" w:rsidR="002A7510" w:rsidRPr="000C70A8" w:rsidRDefault="002A7510" w:rsidP="002A7510">
      <w:pPr>
        <w:jc w:val="center"/>
      </w:pPr>
    </w:p>
    <w:p w14:paraId="59AB5160" w14:textId="77777777" w:rsidR="0006283F" w:rsidRDefault="0006283F" w:rsidP="002A7510">
      <w:pPr>
        <w:spacing w:after="120"/>
      </w:pPr>
    </w:p>
    <w:p w14:paraId="7B5DF4EB" w14:textId="77777777" w:rsidR="002A7510" w:rsidRPr="000C70A8" w:rsidRDefault="002A7510" w:rsidP="002A7510">
      <w:pPr>
        <w:spacing w:after="120"/>
      </w:pPr>
      <w:r w:rsidRPr="000C70A8">
        <w:lastRenderedPageBreak/>
        <w:t>Zdroj údajov: Štatistický úrad SR</w:t>
      </w:r>
    </w:p>
    <w:p w14:paraId="5E89E05E" w14:textId="1752F0DA" w:rsidR="002A7510" w:rsidRPr="000C70A8" w:rsidRDefault="002A7510" w:rsidP="002A7510">
      <w:pPr>
        <w:spacing w:after="120"/>
        <w:ind w:firstLine="709"/>
        <w:jc w:val="both"/>
      </w:pPr>
      <w:r w:rsidRPr="000C70A8">
        <w:t xml:space="preserve">V roku 2016 vývoz do tretích krajín mimo EÚ z celkového vývozu SR bol 14,8 % (1 387,1 mil. €). Zaujímavé sú rozdiely v štruktúre podnikov exportujúcich do tretích krajín (mimo EÚ) v porovnaní s celkovým vývozom SR. </w:t>
      </w:r>
      <w:r w:rsidR="00955F14">
        <w:t>.</w:t>
      </w:r>
      <w:r w:rsidRPr="000C70A8">
        <w:t xml:space="preserve"> Pozície týchto firiem na zahraničných trhoch v roku 2016 celkovo medziročne vrástli v porovnaní s rokom 2015 a medziročne klesol len vývoz prvých 10 podnikov na celkovom vývoze, čo je znázornené v grafe č.2. </w:t>
      </w:r>
    </w:p>
    <w:p w14:paraId="01ECD458" w14:textId="77777777" w:rsidR="002A7510" w:rsidRPr="000C70A8" w:rsidRDefault="002A7510" w:rsidP="002A7510">
      <w:pPr>
        <w:rPr>
          <w:i/>
        </w:rPr>
      </w:pPr>
    </w:p>
    <w:p w14:paraId="0B16A2CD" w14:textId="2059B6A5" w:rsidR="002A7510" w:rsidRPr="00955F14" w:rsidRDefault="002A7510" w:rsidP="00955F14">
      <w:pPr>
        <w:rPr>
          <w:i/>
        </w:rPr>
      </w:pPr>
      <w:r w:rsidRPr="000C70A8">
        <w:rPr>
          <w:i/>
        </w:rPr>
        <w:t>Graf č. 2: Podiel najväčších exportérov na celkovom vývoze SR v rokoch 2015 – 2016</w:t>
      </w:r>
      <w:r w:rsidRPr="000C70A8">
        <w:rPr>
          <w:noProof/>
        </w:rPr>
        <w:drawing>
          <wp:anchor distT="0" distB="0" distL="114300" distR="114300" simplePos="0" relativeHeight="251661312" behindDoc="0" locked="0" layoutInCell="1" allowOverlap="1" wp14:anchorId="02B541A8" wp14:editId="7EA482F9">
            <wp:simplePos x="0" y="0"/>
            <wp:positionH relativeFrom="column">
              <wp:posOffset>-13969</wp:posOffset>
            </wp:positionH>
            <wp:positionV relativeFrom="paragraph">
              <wp:posOffset>172720</wp:posOffset>
            </wp:positionV>
            <wp:extent cx="5638800" cy="2761615"/>
            <wp:effectExtent l="0" t="0" r="0" b="635"/>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8035" cy="2771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704605" w14:textId="77777777" w:rsidR="002A7510" w:rsidRPr="000C70A8" w:rsidRDefault="002A7510" w:rsidP="002A7510">
      <w:pPr>
        <w:jc w:val="center"/>
      </w:pPr>
    </w:p>
    <w:p w14:paraId="343B2CD2" w14:textId="77777777" w:rsidR="002A7510" w:rsidRPr="000C70A8" w:rsidRDefault="002A7510" w:rsidP="002A7510">
      <w:pPr>
        <w:jc w:val="center"/>
      </w:pPr>
    </w:p>
    <w:p w14:paraId="5D3349A2" w14:textId="77777777" w:rsidR="002A7510" w:rsidRPr="000C70A8" w:rsidRDefault="002A7510" w:rsidP="002A7510">
      <w:pPr>
        <w:jc w:val="center"/>
      </w:pPr>
    </w:p>
    <w:p w14:paraId="139CA16C" w14:textId="77777777" w:rsidR="002A7510" w:rsidRPr="000C70A8" w:rsidRDefault="002A7510" w:rsidP="002A7510">
      <w:pPr>
        <w:jc w:val="center"/>
      </w:pPr>
    </w:p>
    <w:p w14:paraId="7AE97057" w14:textId="77777777" w:rsidR="002A7510" w:rsidRPr="000C70A8" w:rsidRDefault="002A7510" w:rsidP="002A7510">
      <w:pPr>
        <w:jc w:val="center"/>
      </w:pPr>
    </w:p>
    <w:p w14:paraId="6887BE14" w14:textId="77777777" w:rsidR="002A7510" w:rsidRPr="000C70A8" w:rsidRDefault="002A7510" w:rsidP="002A7510">
      <w:pPr>
        <w:jc w:val="center"/>
      </w:pPr>
    </w:p>
    <w:p w14:paraId="3A93E480" w14:textId="77777777" w:rsidR="002A7510" w:rsidRPr="000C70A8" w:rsidRDefault="002A7510" w:rsidP="002A7510">
      <w:pPr>
        <w:jc w:val="center"/>
      </w:pPr>
    </w:p>
    <w:p w14:paraId="56B1D72B" w14:textId="77777777" w:rsidR="002A7510" w:rsidRPr="000C70A8" w:rsidRDefault="002A7510" w:rsidP="002A7510">
      <w:pPr>
        <w:jc w:val="center"/>
      </w:pPr>
    </w:p>
    <w:p w14:paraId="7F987032" w14:textId="77777777" w:rsidR="002A7510" w:rsidRPr="000C70A8" w:rsidRDefault="002A7510" w:rsidP="002A7510">
      <w:pPr>
        <w:jc w:val="center"/>
      </w:pPr>
    </w:p>
    <w:p w14:paraId="16153DBB" w14:textId="77777777" w:rsidR="002A7510" w:rsidRPr="000C70A8" w:rsidRDefault="002A7510" w:rsidP="002A7510">
      <w:pPr>
        <w:jc w:val="center"/>
      </w:pPr>
    </w:p>
    <w:p w14:paraId="47EDE34F" w14:textId="77777777" w:rsidR="002A7510" w:rsidRPr="000C70A8" w:rsidRDefault="002A7510" w:rsidP="002A7510">
      <w:pPr>
        <w:jc w:val="center"/>
      </w:pPr>
    </w:p>
    <w:p w14:paraId="0C362645" w14:textId="77777777" w:rsidR="002A7510" w:rsidRPr="000C70A8" w:rsidRDefault="002A7510" w:rsidP="002A7510">
      <w:pPr>
        <w:jc w:val="center"/>
      </w:pPr>
    </w:p>
    <w:p w14:paraId="1466CD02" w14:textId="77777777" w:rsidR="002A7510" w:rsidRPr="000C70A8" w:rsidRDefault="002A7510" w:rsidP="002A7510">
      <w:pPr>
        <w:spacing w:before="120" w:after="60"/>
        <w:jc w:val="both"/>
      </w:pPr>
      <w:r w:rsidRPr="000C70A8">
        <w:t>Zdroj údajov: Štatistický úrad SR</w:t>
      </w:r>
    </w:p>
    <w:p w14:paraId="2CC08ECA" w14:textId="77777777" w:rsidR="00955F14" w:rsidRDefault="00955F14" w:rsidP="002A7510">
      <w:pPr>
        <w:spacing w:before="120"/>
        <w:jc w:val="both"/>
        <w:rPr>
          <w:b/>
        </w:rPr>
      </w:pPr>
    </w:p>
    <w:p w14:paraId="7232B3B8" w14:textId="77777777" w:rsidR="00955F14" w:rsidRDefault="00955F14" w:rsidP="002A7510">
      <w:pPr>
        <w:spacing w:before="120"/>
        <w:jc w:val="both"/>
        <w:rPr>
          <w:b/>
        </w:rPr>
      </w:pPr>
    </w:p>
    <w:p w14:paraId="46D37216" w14:textId="77777777" w:rsidR="002A7510" w:rsidRPr="000C70A8" w:rsidRDefault="002A7510" w:rsidP="002A7510">
      <w:pPr>
        <w:spacing w:before="120"/>
        <w:jc w:val="both"/>
      </w:pPr>
      <w:r w:rsidRPr="000C70A8">
        <w:rPr>
          <w:b/>
        </w:rPr>
        <w:t xml:space="preserve">Malé a stredné podniky </w:t>
      </w:r>
      <w:r w:rsidRPr="000C70A8">
        <w:t xml:space="preserve">(do 249 zamestnancov, vrátene podnikov s nezisteným počtom zamestnancov) sa v roku 2016 podieľali na celkovom objeme exportu </w:t>
      </w:r>
      <w:r w:rsidRPr="000C70A8">
        <w:rPr>
          <w:b/>
        </w:rPr>
        <w:t>37,3 %.</w:t>
      </w:r>
      <w:r w:rsidRPr="000C70A8">
        <w:t xml:space="preserve"> </w:t>
      </w:r>
      <w:r w:rsidRPr="000C70A8">
        <w:rPr>
          <w:b/>
        </w:rPr>
        <w:t>Väčšie podniky</w:t>
      </w:r>
      <w:r w:rsidRPr="000C70A8">
        <w:t xml:space="preserve"> (s 250 až 500 zamestnancov) sa podieľali na exporte SR </w:t>
      </w:r>
      <w:r w:rsidRPr="000C70A8">
        <w:rPr>
          <w:b/>
        </w:rPr>
        <w:t xml:space="preserve">16,0 % </w:t>
      </w:r>
      <w:r w:rsidRPr="000C70A8">
        <w:t>a</w:t>
      </w:r>
      <w:r w:rsidRPr="000C70A8">
        <w:rPr>
          <w:b/>
        </w:rPr>
        <w:t> veľké podniky (</w:t>
      </w:r>
      <w:r w:rsidRPr="000C70A8">
        <w:t xml:space="preserve">nad 500 zamestnancov)   </w:t>
      </w:r>
      <w:r w:rsidRPr="000C70A8">
        <w:rPr>
          <w:b/>
        </w:rPr>
        <w:t>46,7%,</w:t>
      </w:r>
      <w:r w:rsidRPr="000C70A8">
        <w:t xml:space="preserve"> čo je znázornené v grafe č.3:</w:t>
      </w:r>
    </w:p>
    <w:p w14:paraId="38CC7DD9" w14:textId="77777777" w:rsidR="002A7510" w:rsidRPr="000C70A8" w:rsidRDefault="002A7510" w:rsidP="002A7510">
      <w:pPr>
        <w:rPr>
          <w:i/>
        </w:rPr>
      </w:pPr>
    </w:p>
    <w:p w14:paraId="1804CF17" w14:textId="77777777" w:rsidR="002A7510" w:rsidRPr="000C70A8" w:rsidRDefault="002A7510" w:rsidP="002A7510">
      <w:pPr>
        <w:rPr>
          <w:i/>
        </w:rPr>
      </w:pPr>
      <w:r w:rsidRPr="000C70A8">
        <w:rPr>
          <w:i/>
        </w:rPr>
        <w:t>Graf č. 3: Podiel na vývoze SR podľa veľkosti podnikov v roku 2016</w:t>
      </w:r>
    </w:p>
    <w:p w14:paraId="0B89765B" w14:textId="77777777" w:rsidR="002A7510" w:rsidRPr="000C70A8" w:rsidRDefault="002A7510" w:rsidP="002A7510">
      <w:pPr>
        <w:rPr>
          <w:i/>
        </w:rPr>
      </w:pPr>
      <w:r w:rsidRPr="000C70A8">
        <w:rPr>
          <w:i/>
          <w:noProof/>
        </w:rPr>
        <w:drawing>
          <wp:anchor distT="0" distB="0" distL="114300" distR="114300" simplePos="0" relativeHeight="251660288" behindDoc="0" locked="0" layoutInCell="1" allowOverlap="1" wp14:anchorId="08418C77" wp14:editId="2B25673E">
            <wp:simplePos x="0" y="0"/>
            <wp:positionH relativeFrom="column">
              <wp:posOffset>509905</wp:posOffset>
            </wp:positionH>
            <wp:positionV relativeFrom="paragraph">
              <wp:posOffset>142875</wp:posOffset>
            </wp:positionV>
            <wp:extent cx="5229225" cy="2677189"/>
            <wp:effectExtent l="0" t="0" r="0" b="8890"/>
            <wp:wrapNone/>
            <wp:docPr id="43" name="Obrázo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3874" cy="26846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8E4219" w14:textId="77777777" w:rsidR="002A7510" w:rsidRPr="000C70A8" w:rsidRDefault="002A7510" w:rsidP="002A7510">
      <w:pPr>
        <w:spacing w:after="200"/>
        <w:jc w:val="center"/>
        <w:rPr>
          <w:i/>
          <w:noProof/>
        </w:rPr>
      </w:pPr>
    </w:p>
    <w:p w14:paraId="738A8608" w14:textId="77777777" w:rsidR="002A7510" w:rsidRPr="000C70A8" w:rsidRDefault="002A7510" w:rsidP="002A7510">
      <w:pPr>
        <w:spacing w:after="200"/>
        <w:jc w:val="center"/>
        <w:rPr>
          <w:i/>
          <w:noProof/>
        </w:rPr>
      </w:pPr>
    </w:p>
    <w:p w14:paraId="2444CFA7" w14:textId="77777777" w:rsidR="002A7510" w:rsidRPr="000C70A8" w:rsidRDefault="002A7510" w:rsidP="002A7510">
      <w:pPr>
        <w:spacing w:after="200"/>
        <w:jc w:val="center"/>
        <w:rPr>
          <w:i/>
          <w:noProof/>
        </w:rPr>
      </w:pPr>
    </w:p>
    <w:p w14:paraId="7EDEFEF9" w14:textId="77777777" w:rsidR="002A7510" w:rsidRPr="000C70A8" w:rsidRDefault="002A7510" w:rsidP="002A7510">
      <w:pPr>
        <w:spacing w:after="200"/>
        <w:jc w:val="center"/>
        <w:rPr>
          <w:i/>
          <w:noProof/>
        </w:rPr>
      </w:pPr>
    </w:p>
    <w:p w14:paraId="4BE89755" w14:textId="77777777" w:rsidR="002A7510" w:rsidRPr="000C70A8" w:rsidRDefault="002A7510" w:rsidP="002A7510">
      <w:pPr>
        <w:spacing w:after="200"/>
        <w:jc w:val="center"/>
        <w:rPr>
          <w:i/>
          <w:noProof/>
        </w:rPr>
      </w:pPr>
    </w:p>
    <w:p w14:paraId="350281E7" w14:textId="77777777" w:rsidR="002A7510" w:rsidRPr="000C70A8" w:rsidRDefault="002A7510" w:rsidP="002A7510">
      <w:pPr>
        <w:spacing w:after="200"/>
        <w:jc w:val="center"/>
        <w:rPr>
          <w:i/>
          <w:noProof/>
        </w:rPr>
      </w:pPr>
    </w:p>
    <w:p w14:paraId="3C3E5595" w14:textId="77777777" w:rsidR="002A7510" w:rsidRPr="000C70A8" w:rsidRDefault="002A7510" w:rsidP="002A7510">
      <w:pPr>
        <w:spacing w:after="200"/>
        <w:jc w:val="center"/>
        <w:rPr>
          <w:i/>
          <w:noProof/>
        </w:rPr>
      </w:pPr>
    </w:p>
    <w:p w14:paraId="3E6606BA" w14:textId="77777777" w:rsidR="002A7510" w:rsidRPr="000C70A8" w:rsidRDefault="002A7510" w:rsidP="002A7510">
      <w:pPr>
        <w:spacing w:after="200"/>
        <w:jc w:val="center"/>
        <w:rPr>
          <w:i/>
          <w:noProof/>
        </w:rPr>
      </w:pPr>
    </w:p>
    <w:p w14:paraId="76C409A8" w14:textId="77777777" w:rsidR="00955F14" w:rsidRDefault="00955F14" w:rsidP="002A7510">
      <w:pPr>
        <w:spacing w:after="200"/>
        <w:rPr>
          <w:i/>
          <w:noProof/>
        </w:rPr>
      </w:pPr>
    </w:p>
    <w:p w14:paraId="557AD037" w14:textId="53863DA6" w:rsidR="002A7510" w:rsidRPr="00FD068D" w:rsidRDefault="00955F14" w:rsidP="002A7510">
      <w:pPr>
        <w:spacing w:after="200"/>
      </w:pPr>
      <w:r w:rsidRPr="00FD068D">
        <w:rPr>
          <w:noProof/>
        </w:rPr>
        <w:t>Z</w:t>
      </w:r>
      <w:proofErr w:type="spellStart"/>
      <w:r w:rsidR="002A7510" w:rsidRPr="00FD068D">
        <w:t>droj</w:t>
      </w:r>
      <w:proofErr w:type="spellEnd"/>
      <w:r w:rsidR="0006283F">
        <w:t xml:space="preserve"> </w:t>
      </w:r>
      <w:r w:rsidR="002A7510" w:rsidRPr="00FD068D">
        <w:t>údajov: Štatistický úrad SR</w:t>
      </w:r>
    </w:p>
    <w:p w14:paraId="70D27993" w14:textId="23653D89" w:rsidR="002A7510" w:rsidRPr="00FD068D" w:rsidRDefault="002A7510" w:rsidP="00386C66">
      <w:pPr>
        <w:pStyle w:val="Nadpis3"/>
        <w:rPr>
          <w:rStyle w:val="TextpoznmkypodiarouChar"/>
          <w:rFonts w:eastAsiaTheme="minorHAnsi"/>
          <w:color w:val="auto"/>
          <w:sz w:val="22"/>
          <w:szCs w:val="24"/>
        </w:rPr>
      </w:pPr>
      <w:bookmarkStart w:id="28" w:name="_Toc498377386"/>
      <w:bookmarkStart w:id="29" w:name="_Toc500503410"/>
      <w:r w:rsidRPr="00FD068D">
        <w:rPr>
          <w:rFonts w:ascii="Times New Roman" w:hAnsi="Times New Roman" w:cs="Times New Roman"/>
          <w:color w:val="auto"/>
          <w:sz w:val="24"/>
        </w:rPr>
        <w:lastRenderedPageBreak/>
        <w:t xml:space="preserve">3.1.3 Diverzifikácia teritoriálnej štruktúry exportu - zvýšiť </w:t>
      </w:r>
      <w:r w:rsidR="00FD068D" w:rsidRPr="00FD068D">
        <w:rPr>
          <w:rFonts w:ascii="Times New Roman" w:hAnsi="Times New Roman" w:cs="Times New Roman"/>
          <w:color w:val="auto"/>
          <w:sz w:val="24"/>
        </w:rPr>
        <w:t xml:space="preserve">podiel exportu </w:t>
      </w:r>
      <w:r w:rsidRPr="00FD068D">
        <w:rPr>
          <w:rFonts w:ascii="Times New Roman" w:hAnsi="Times New Roman" w:cs="Times New Roman"/>
          <w:color w:val="auto"/>
          <w:sz w:val="24"/>
        </w:rPr>
        <w:t>na mimoeurópske trhy</w:t>
      </w:r>
      <w:bookmarkEnd w:id="28"/>
      <w:bookmarkEnd w:id="29"/>
      <w:r w:rsidRPr="00FD068D">
        <w:rPr>
          <w:rStyle w:val="TextpoznmkypodiarouChar"/>
          <w:rFonts w:eastAsiaTheme="minorHAnsi"/>
          <w:color w:val="auto"/>
          <w:sz w:val="22"/>
          <w:szCs w:val="24"/>
        </w:rPr>
        <w:t xml:space="preserve"> </w:t>
      </w:r>
    </w:p>
    <w:p w14:paraId="2CA07BEF" w14:textId="77777777" w:rsidR="00FD068D" w:rsidRPr="00FD068D" w:rsidRDefault="00FD068D" w:rsidP="00FD068D">
      <w:pPr>
        <w:rPr>
          <w:rFonts w:eastAsiaTheme="minorHAnsi"/>
        </w:rPr>
      </w:pPr>
    </w:p>
    <w:p w14:paraId="558EF38A" w14:textId="77777777" w:rsidR="002A7510" w:rsidRPr="000C70A8" w:rsidRDefault="002A7510" w:rsidP="0006283F">
      <w:pPr>
        <w:spacing w:after="120"/>
        <w:ind w:firstLine="708"/>
        <w:jc w:val="both"/>
      </w:pPr>
      <w:r w:rsidRPr="000C70A8">
        <w:t xml:space="preserve">V nasledujúcej tabuľke sú informácie o vývoze tovarov zo SR v členení podľa svetových zemepisných celkov  za roky 2015 a 2016. Tabuľka ďalej obsahuje údaje o percentuálnom podiele na celkovom vývoze SR v roku 2016, medziročnej zmene vývozu (v mil. €) a index rastu/poklesu vývozu.  Rast/pokles indexu oproti priemernému indexu celkového vývozu SR v roku 2015 označujú šípky </w:t>
      </w:r>
      <w:r w:rsidRPr="000C70A8">
        <w:rPr>
          <w:color w:val="008000"/>
        </w:rPr>
        <w:t>▲</w:t>
      </w:r>
      <w:r w:rsidRPr="000C70A8">
        <w:rPr>
          <w:color w:val="FF0000"/>
        </w:rPr>
        <w:t>▼</w:t>
      </w:r>
      <w:r w:rsidRPr="000C70A8">
        <w:t>.</w:t>
      </w:r>
    </w:p>
    <w:p w14:paraId="6821C7A0" w14:textId="77777777" w:rsidR="002A7510" w:rsidRPr="000C70A8" w:rsidRDefault="002A7510" w:rsidP="002A7510">
      <w:pPr>
        <w:spacing w:after="120"/>
        <w:jc w:val="both"/>
        <w:rPr>
          <w:i/>
        </w:rPr>
      </w:pPr>
      <w:r w:rsidRPr="000C70A8">
        <w:rPr>
          <w:i/>
        </w:rPr>
        <w:t>Tabuľka č. 1: Vývoz SR podľa svetových zemepisných celkov</w:t>
      </w:r>
    </w:p>
    <w:p w14:paraId="72F444CD" w14:textId="77777777" w:rsidR="002A7510" w:rsidRPr="000C70A8" w:rsidRDefault="002A7510" w:rsidP="002A7510">
      <w:pPr>
        <w:spacing w:after="120"/>
        <w:jc w:val="center"/>
      </w:pPr>
      <w:r w:rsidRPr="000C70A8">
        <w:rPr>
          <w:noProof/>
        </w:rPr>
        <w:drawing>
          <wp:anchor distT="0" distB="0" distL="114300" distR="114300" simplePos="0" relativeHeight="251663360" behindDoc="0" locked="0" layoutInCell="1" allowOverlap="1" wp14:anchorId="4FCC963D" wp14:editId="76AC7A33">
            <wp:simplePos x="0" y="0"/>
            <wp:positionH relativeFrom="column">
              <wp:posOffset>0</wp:posOffset>
            </wp:positionH>
            <wp:positionV relativeFrom="paragraph">
              <wp:posOffset>-635</wp:posOffset>
            </wp:positionV>
            <wp:extent cx="5971540" cy="2094230"/>
            <wp:effectExtent l="0" t="0" r="0" b="127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1540" cy="2094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005A18" w14:textId="77777777" w:rsidR="002A7510" w:rsidRPr="000C70A8" w:rsidRDefault="002A7510" w:rsidP="002A7510">
      <w:pPr>
        <w:spacing w:after="120"/>
        <w:rPr>
          <w:i/>
        </w:rPr>
      </w:pPr>
    </w:p>
    <w:p w14:paraId="488D1AAB" w14:textId="77777777" w:rsidR="002A7510" w:rsidRPr="000C70A8" w:rsidRDefault="002A7510" w:rsidP="002A7510">
      <w:pPr>
        <w:spacing w:after="120"/>
        <w:rPr>
          <w:i/>
        </w:rPr>
      </w:pPr>
    </w:p>
    <w:p w14:paraId="6844E4B1" w14:textId="77777777" w:rsidR="002A7510" w:rsidRPr="000C70A8" w:rsidRDefault="002A7510" w:rsidP="002A7510">
      <w:pPr>
        <w:spacing w:after="120"/>
        <w:rPr>
          <w:i/>
        </w:rPr>
      </w:pPr>
    </w:p>
    <w:p w14:paraId="36063A96" w14:textId="77777777" w:rsidR="002A7510" w:rsidRPr="000C70A8" w:rsidRDefault="002A7510" w:rsidP="002A7510">
      <w:pPr>
        <w:spacing w:after="120"/>
        <w:rPr>
          <w:i/>
        </w:rPr>
      </w:pPr>
    </w:p>
    <w:p w14:paraId="28024FA1" w14:textId="77777777" w:rsidR="002A7510" w:rsidRPr="000C70A8" w:rsidRDefault="002A7510" w:rsidP="002A7510">
      <w:pPr>
        <w:spacing w:after="120"/>
        <w:rPr>
          <w:i/>
        </w:rPr>
      </w:pPr>
    </w:p>
    <w:p w14:paraId="7BB5A3BC" w14:textId="77777777" w:rsidR="002A7510" w:rsidRPr="000C70A8" w:rsidRDefault="002A7510" w:rsidP="002A7510">
      <w:pPr>
        <w:spacing w:after="120"/>
        <w:rPr>
          <w:i/>
        </w:rPr>
      </w:pPr>
    </w:p>
    <w:p w14:paraId="025751BF" w14:textId="77777777" w:rsidR="002A7510" w:rsidRPr="000C70A8" w:rsidRDefault="002A7510" w:rsidP="002A7510">
      <w:pPr>
        <w:spacing w:after="120"/>
        <w:rPr>
          <w:i/>
        </w:rPr>
      </w:pPr>
    </w:p>
    <w:p w14:paraId="634DEB44" w14:textId="77777777" w:rsidR="00FD068D" w:rsidRDefault="00FD068D" w:rsidP="002A7510">
      <w:pPr>
        <w:spacing w:after="120"/>
      </w:pPr>
    </w:p>
    <w:p w14:paraId="433D402C" w14:textId="34D5E704" w:rsidR="002A7510" w:rsidRPr="00FD068D" w:rsidRDefault="002A7510" w:rsidP="002A7510">
      <w:pPr>
        <w:spacing w:after="120"/>
      </w:pPr>
      <w:r w:rsidRPr="00FD068D">
        <w:t>Zdroj údajov: Štatistický úrad SR</w:t>
      </w:r>
    </w:p>
    <w:p w14:paraId="1FD3B439" w14:textId="778C948A" w:rsidR="002A7510" w:rsidRPr="000C70A8" w:rsidRDefault="002A7510" w:rsidP="002A7510">
      <w:pPr>
        <w:spacing w:after="120"/>
      </w:pPr>
      <w:r w:rsidRPr="000C70A8">
        <w:t>Nasledujú</w:t>
      </w:r>
      <w:r w:rsidR="00FD068D">
        <w:t xml:space="preserve">ci graf zobrazuje vývoj vývozu </w:t>
      </w:r>
      <w:r w:rsidRPr="000C70A8">
        <w:t>SR do hlavných svetových zemepisných celkov:</w:t>
      </w:r>
    </w:p>
    <w:p w14:paraId="17B5B930" w14:textId="77777777" w:rsidR="002A7510" w:rsidRPr="000C70A8" w:rsidRDefault="002A7510" w:rsidP="002A7510">
      <w:pPr>
        <w:spacing w:after="120"/>
        <w:rPr>
          <w:i/>
        </w:rPr>
      </w:pPr>
      <w:r w:rsidRPr="000C70A8">
        <w:rPr>
          <w:i/>
        </w:rPr>
        <w:t>Graf č. 4: Vývoj vývozu v rokoch 2010 – 2016 podľa svetových zemepisných celkov v mil. €</w:t>
      </w:r>
    </w:p>
    <w:p w14:paraId="318E2F0B" w14:textId="77777777" w:rsidR="002A7510" w:rsidRPr="000C70A8" w:rsidRDefault="002A7510" w:rsidP="002A7510">
      <w:pPr>
        <w:spacing w:after="120"/>
        <w:jc w:val="center"/>
      </w:pPr>
      <w:r w:rsidRPr="000C70A8">
        <w:rPr>
          <w:noProof/>
        </w:rPr>
        <w:drawing>
          <wp:anchor distT="0" distB="0" distL="114300" distR="114300" simplePos="0" relativeHeight="251662336" behindDoc="0" locked="0" layoutInCell="1" allowOverlap="1" wp14:anchorId="51D8E0C6" wp14:editId="0833FB80">
            <wp:simplePos x="0" y="0"/>
            <wp:positionH relativeFrom="column">
              <wp:posOffset>-5080</wp:posOffset>
            </wp:positionH>
            <wp:positionV relativeFrom="paragraph">
              <wp:posOffset>134620</wp:posOffset>
            </wp:positionV>
            <wp:extent cx="5629275" cy="3476517"/>
            <wp:effectExtent l="0" t="0" r="0" b="0"/>
            <wp:wrapNone/>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41894" cy="3484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AF9336" w14:textId="77777777" w:rsidR="002A7510" w:rsidRPr="000C70A8" w:rsidRDefault="002A7510" w:rsidP="002A7510">
      <w:pPr>
        <w:spacing w:after="120"/>
        <w:jc w:val="center"/>
      </w:pPr>
    </w:p>
    <w:p w14:paraId="08AF4CC5" w14:textId="77777777" w:rsidR="002A7510" w:rsidRPr="000C70A8" w:rsidRDefault="002A7510" w:rsidP="002A7510">
      <w:pPr>
        <w:spacing w:after="120"/>
        <w:jc w:val="center"/>
      </w:pPr>
    </w:p>
    <w:p w14:paraId="4820E65A" w14:textId="77777777" w:rsidR="002A7510" w:rsidRPr="000C70A8" w:rsidRDefault="002A7510" w:rsidP="002A7510">
      <w:pPr>
        <w:spacing w:after="120"/>
        <w:jc w:val="center"/>
      </w:pPr>
    </w:p>
    <w:p w14:paraId="3131DACB" w14:textId="77777777" w:rsidR="002A7510" w:rsidRPr="000C70A8" w:rsidRDefault="002A7510" w:rsidP="002A7510">
      <w:pPr>
        <w:spacing w:after="120"/>
        <w:jc w:val="center"/>
      </w:pPr>
    </w:p>
    <w:p w14:paraId="60A37E41" w14:textId="77777777" w:rsidR="002A7510" w:rsidRPr="000C70A8" w:rsidRDefault="002A7510" w:rsidP="002A7510">
      <w:pPr>
        <w:spacing w:after="120"/>
        <w:jc w:val="center"/>
      </w:pPr>
    </w:p>
    <w:p w14:paraId="7B2F5BA7" w14:textId="77777777" w:rsidR="002A7510" w:rsidRPr="000C70A8" w:rsidRDefault="002A7510" w:rsidP="002A7510">
      <w:pPr>
        <w:spacing w:after="120"/>
        <w:jc w:val="center"/>
      </w:pPr>
    </w:p>
    <w:p w14:paraId="62DBFFEA" w14:textId="77777777" w:rsidR="002A7510" w:rsidRPr="000C70A8" w:rsidRDefault="002A7510" w:rsidP="002A7510">
      <w:pPr>
        <w:spacing w:after="120"/>
        <w:jc w:val="center"/>
      </w:pPr>
    </w:p>
    <w:p w14:paraId="2CF5A394" w14:textId="77777777" w:rsidR="002A7510" w:rsidRPr="000C70A8" w:rsidRDefault="002A7510" w:rsidP="002A7510">
      <w:pPr>
        <w:spacing w:after="120"/>
        <w:jc w:val="center"/>
      </w:pPr>
    </w:p>
    <w:p w14:paraId="669129FF" w14:textId="77777777" w:rsidR="002A7510" w:rsidRPr="000C70A8" w:rsidRDefault="002A7510" w:rsidP="002A7510">
      <w:pPr>
        <w:spacing w:after="120"/>
        <w:jc w:val="center"/>
      </w:pPr>
    </w:p>
    <w:p w14:paraId="6A05158B" w14:textId="77777777" w:rsidR="002A7510" w:rsidRPr="000C70A8" w:rsidRDefault="002A7510" w:rsidP="002A7510">
      <w:pPr>
        <w:spacing w:after="120"/>
        <w:jc w:val="center"/>
      </w:pPr>
    </w:p>
    <w:p w14:paraId="601863A4" w14:textId="77777777" w:rsidR="002A7510" w:rsidRPr="000C70A8" w:rsidRDefault="002A7510" w:rsidP="002A7510">
      <w:pPr>
        <w:spacing w:after="120"/>
        <w:jc w:val="center"/>
      </w:pPr>
    </w:p>
    <w:p w14:paraId="22B364DE" w14:textId="77777777" w:rsidR="002A7510" w:rsidRPr="000C70A8" w:rsidRDefault="002A7510" w:rsidP="002A7510">
      <w:pPr>
        <w:spacing w:after="120"/>
        <w:jc w:val="center"/>
      </w:pPr>
    </w:p>
    <w:p w14:paraId="57316DC4" w14:textId="77777777" w:rsidR="002A7510" w:rsidRPr="000C70A8" w:rsidRDefault="002A7510" w:rsidP="002A7510">
      <w:pPr>
        <w:spacing w:after="120"/>
        <w:jc w:val="center"/>
      </w:pPr>
    </w:p>
    <w:p w14:paraId="1E4CDF3B" w14:textId="77777777" w:rsidR="002A7510" w:rsidRPr="000C70A8" w:rsidRDefault="002A7510" w:rsidP="002A7510">
      <w:pPr>
        <w:spacing w:after="120"/>
        <w:jc w:val="center"/>
      </w:pPr>
    </w:p>
    <w:p w14:paraId="29827CB9" w14:textId="1106FD9D" w:rsidR="002A7510" w:rsidRPr="00FD068D" w:rsidRDefault="000C70A8" w:rsidP="002A7510">
      <w:pPr>
        <w:tabs>
          <w:tab w:val="center" w:pos="4536"/>
          <w:tab w:val="right" w:pos="9072"/>
        </w:tabs>
        <w:spacing w:after="120"/>
      </w:pPr>
      <w:r w:rsidRPr="00FD068D">
        <w:t>Z</w:t>
      </w:r>
      <w:r w:rsidR="002A7510" w:rsidRPr="00FD068D">
        <w:t>droj údajov: Štatistický úrad SR</w:t>
      </w:r>
    </w:p>
    <w:p w14:paraId="14D572D3" w14:textId="77777777" w:rsidR="000C70A8" w:rsidRDefault="002A7510" w:rsidP="000C70A8">
      <w:pPr>
        <w:spacing w:after="120"/>
        <w:ind w:firstLine="708"/>
        <w:jc w:val="both"/>
      </w:pPr>
      <w:r w:rsidRPr="000C70A8">
        <w:lastRenderedPageBreak/>
        <w:t xml:space="preserve">Z pohľadu hlavných ekonomických zoskupení sa zvýšil vývoz do krajín EÚ o 3,5 % (tvoril 85,2 % celkového vývozu SR) a do krajín OECD o 3,9 % (na celkovom vývoze SR sa podieľal 88,6 %). </w:t>
      </w:r>
    </w:p>
    <w:p w14:paraId="6E55AFC6" w14:textId="5BA2C9B0" w:rsidR="002A7510" w:rsidRPr="000C70A8" w:rsidRDefault="002A7510" w:rsidP="000C70A8">
      <w:pPr>
        <w:spacing w:after="120"/>
        <w:ind w:firstLine="708"/>
        <w:jc w:val="both"/>
      </w:pPr>
      <w:r w:rsidRPr="000C70A8">
        <w:t xml:space="preserve">Najväčší </w:t>
      </w:r>
      <w:r w:rsidRPr="000C70A8">
        <w:rPr>
          <w:u w:val="single"/>
        </w:rPr>
        <w:t>percentuálny nárast</w:t>
      </w:r>
      <w:r w:rsidRPr="000C70A8">
        <w:t xml:space="preserve"> v porovnaní s rokom 2015 zaznamenal vývoz do krajín </w:t>
      </w:r>
      <w:r w:rsidRPr="000C70A8">
        <w:rPr>
          <w:b/>
        </w:rPr>
        <w:t xml:space="preserve">Ázie, </w:t>
      </w:r>
      <w:r w:rsidRPr="000C70A8">
        <w:t>export</w:t>
      </w:r>
      <w:r w:rsidRPr="000C70A8">
        <w:rPr>
          <w:b/>
        </w:rPr>
        <w:t xml:space="preserve"> </w:t>
      </w:r>
      <w:r w:rsidRPr="000C70A8">
        <w:t>medziročne vzrástol o </w:t>
      </w:r>
      <w:r w:rsidRPr="000C70A8">
        <w:rPr>
          <w:b/>
        </w:rPr>
        <w:t xml:space="preserve">9,4 % </w:t>
      </w:r>
      <w:r w:rsidRPr="000C70A8">
        <w:t>s podielom na celkovom vývoze 5,1 % a podobne do krajín</w:t>
      </w:r>
      <w:r w:rsidRPr="000C70A8">
        <w:rPr>
          <w:b/>
        </w:rPr>
        <w:t xml:space="preserve"> Ameriky </w:t>
      </w:r>
      <w:r w:rsidRPr="000C70A8">
        <w:t>export vzrástol o </w:t>
      </w:r>
      <w:r w:rsidRPr="000C70A8">
        <w:rPr>
          <w:b/>
        </w:rPr>
        <w:t xml:space="preserve">9,4 % </w:t>
      </w:r>
      <w:r w:rsidRPr="000C70A8">
        <w:t xml:space="preserve">s podielom na celkovom exporte SR tvoril 3,3 %. Export do Afriky oproti predchádzajúcemu roku klesol o 8,3 %  a podiel na celkovom exporte SR tvoril len 0,9 %. Medziročne poklesol aj vývoz do teritória </w:t>
      </w:r>
      <w:r w:rsidRPr="000C70A8">
        <w:rPr>
          <w:b/>
        </w:rPr>
        <w:t xml:space="preserve">Austrália – Oceánia o 32,9 % </w:t>
      </w:r>
      <w:r w:rsidRPr="000C70A8">
        <w:t>s podielom na celkovom exporte SR len 0,3 %.</w:t>
      </w:r>
    </w:p>
    <w:p w14:paraId="684521C2" w14:textId="77777777" w:rsidR="002A7510" w:rsidRPr="000C70A8" w:rsidRDefault="002A7510" w:rsidP="002A7510">
      <w:pPr>
        <w:spacing w:after="120"/>
        <w:ind w:firstLine="709"/>
        <w:jc w:val="both"/>
      </w:pPr>
      <w:r w:rsidRPr="000C70A8">
        <w:t>V nasledujúcej tabuľke je uvedených 10 najvýznamnejších krajín z hľadiska objemu vývozu SR v rokoch 2015 a 2016 spolu s percentuálnym podielom na celkovom vývoze, medziročnou zmenou, indexom rastu vývozu a poradím za rok 2015.</w:t>
      </w:r>
    </w:p>
    <w:p w14:paraId="3F2CFFCB" w14:textId="77777777" w:rsidR="002A7510" w:rsidRPr="000C70A8" w:rsidRDefault="002A7510" w:rsidP="002A7510">
      <w:pPr>
        <w:spacing w:after="120"/>
        <w:jc w:val="both"/>
        <w:rPr>
          <w:i/>
        </w:rPr>
      </w:pPr>
      <w:r w:rsidRPr="000C70A8">
        <w:rPr>
          <w:noProof/>
        </w:rPr>
        <w:drawing>
          <wp:anchor distT="0" distB="0" distL="114300" distR="114300" simplePos="0" relativeHeight="251665408" behindDoc="0" locked="0" layoutInCell="1" allowOverlap="1" wp14:anchorId="4D4422BC" wp14:editId="49F559D7">
            <wp:simplePos x="0" y="0"/>
            <wp:positionH relativeFrom="column">
              <wp:posOffset>213995</wp:posOffset>
            </wp:positionH>
            <wp:positionV relativeFrom="paragraph">
              <wp:posOffset>196850</wp:posOffset>
            </wp:positionV>
            <wp:extent cx="5228812" cy="2705100"/>
            <wp:effectExtent l="0" t="0" r="0" b="0"/>
            <wp:wrapNone/>
            <wp:docPr id="53" name="Obrázo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28812" cy="2705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70A8">
        <w:rPr>
          <w:i/>
        </w:rPr>
        <w:t>Tabuľka č. 2: 10 najvýznamnejších krajín z hľadiska vývozu SR</w:t>
      </w:r>
    </w:p>
    <w:p w14:paraId="3C5DF34D" w14:textId="77777777" w:rsidR="002A7510" w:rsidRPr="000C70A8" w:rsidRDefault="002A7510" w:rsidP="002A7510">
      <w:pPr>
        <w:spacing w:after="120"/>
        <w:jc w:val="center"/>
      </w:pPr>
    </w:p>
    <w:p w14:paraId="7B4BA1AB" w14:textId="77777777" w:rsidR="002A7510" w:rsidRPr="000C70A8" w:rsidRDefault="002A7510" w:rsidP="002A7510">
      <w:pPr>
        <w:spacing w:after="120"/>
      </w:pPr>
    </w:p>
    <w:p w14:paraId="1F860F04" w14:textId="77777777" w:rsidR="002A7510" w:rsidRPr="000C70A8" w:rsidRDefault="002A7510" w:rsidP="002A7510">
      <w:pPr>
        <w:spacing w:after="120"/>
      </w:pPr>
    </w:p>
    <w:p w14:paraId="74FAC386" w14:textId="77777777" w:rsidR="002A7510" w:rsidRPr="000C70A8" w:rsidRDefault="002A7510" w:rsidP="002A7510">
      <w:pPr>
        <w:spacing w:after="120"/>
      </w:pPr>
    </w:p>
    <w:p w14:paraId="532BD8ED" w14:textId="77777777" w:rsidR="002A7510" w:rsidRPr="000C70A8" w:rsidRDefault="002A7510" w:rsidP="002A7510">
      <w:pPr>
        <w:spacing w:after="120"/>
      </w:pPr>
    </w:p>
    <w:p w14:paraId="542DCF7E" w14:textId="77777777" w:rsidR="002A7510" w:rsidRPr="000C70A8" w:rsidRDefault="002A7510" w:rsidP="002A7510">
      <w:pPr>
        <w:spacing w:after="120"/>
      </w:pPr>
    </w:p>
    <w:p w14:paraId="7C7DF4FA" w14:textId="77777777" w:rsidR="002A7510" w:rsidRPr="000C70A8" w:rsidRDefault="002A7510" w:rsidP="002A7510">
      <w:pPr>
        <w:spacing w:after="120"/>
      </w:pPr>
    </w:p>
    <w:p w14:paraId="072C23B8" w14:textId="77777777" w:rsidR="002A7510" w:rsidRPr="000C70A8" w:rsidRDefault="002A7510" w:rsidP="002A7510">
      <w:pPr>
        <w:spacing w:after="120"/>
      </w:pPr>
    </w:p>
    <w:p w14:paraId="4362F7ED" w14:textId="77777777" w:rsidR="002A7510" w:rsidRPr="000C70A8" w:rsidRDefault="002A7510" w:rsidP="002A7510">
      <w:pPr>
        <w:spacing w:after="120"/>
      </w:pPr>
    </w:p>
    <w:p w14:paraId="46CE0DC6" w14:textId="77777777" w:rsidR="002A7510" w:rsidRPr="000C70A8" w:rsidRDefault="002A7510" w:rsidP="002A7510">
      <w:pPr>
        <w:spacing w:after="120"/>
      </w:pPr>
    </w:p>
    <w:p w14:paraId="69F33420" w14:textId="77777777" w:rsidR="002A7510" w:rsidRPr="000C70A8" w:rsidRDefault="002A7510" w:rsidP="002A7510">
      <w:pPr>
        <w:spacing w:after="120"/>
      </w:pPr>
    </w:p>
    <w:p w14:paraId="3223AF9B" w14:textId="77777777" w:rsidR="002A7510" w:rsidRPr="000C70A8" w:rsidRDefault="002A7510" w:rsidP="002A7510">
      <w:pPr>
        <w:spacing w:after="120"/>
      </w:pPr>
      <w:r w:rsidRPr="000C70A8">
        <w:t>Zdroj údajov: Štatistický úrad SR</w:t>
      </w:r>
    </w:p>
    <w:p w14:paraId="1E148A14" w14:textId="5FF7DCD9" w:rsidR="002A7510" w:rsidRPr="000C70A8" w:rsidRDefault="002A7510" w:rsidP="002A7510">
      <w:pPr>
        <w:spacing w:after="120"/>
        <w:ind w:firstLine="708"/>
        <w:jc w:val="both"/>
      </w:pPr>
      <w:r w:rsidRPr="000C70A8">
        <w:t>Z tabuľky je zrejmé, že najvýznamnejšie krajiny z hľadiska vývozu SR sa v roku 2016 menili len minimálne. Uvedených 10 krajín sa na celkovom vývoze SR podieľa 75,4 %. Medzi najvýznamnejšie vývozné teritóriá SR patria najväčšie členské krajiny EÚ. Nemecko aj naďalej zostáva pre SR najvýznamnejším obchodným partnerom s 21,9 %-</w:t>
      </w:r>
      <w:proofErr w:type="spellStart"/>
      <w:r w:rsidRPr="000C70A8">
        <w:t>ným</w:t>
      </w:r>
      <w:proofErr w:type="spellEnd"/>
      <w:r w:rsidRPr="000C70A8">
        <w:t xml:space="preserve"> podielom </w:t>
      </w:r>
      <w:r w:rsidR="0006283F">
        <w:br/>
      </w:r>
      <w:r w:rsidRPr="000C70A8">
        <w:t xml:space="preserve">na celkovom vývoze SR, pričom vývoz do Nemecka v roku 2016 vzrástol o 1,0 %. Zvýšil sa vývoz do Spojeného kráľovstva o 13,1 %, Maďarska o 2,8 %, Talianska o 10,6 %, Španielska o 11,2 %, Holandska o 22,5 %, Spojených štátov amerických o 16,3 % a Rumunska o 6,1 %. Znížil sa vývoz do Českej republiky o 1,2 %, Poľska o 5,2 %, Rakúska o 1,5 % a Ruskej federácie o 4,4 %.  </w:t>
      </w:r>
    </w:p>
    <w:p w14:paraId="1501E0A8" w14:textId="77777777" w:rsidR="002A7510" w:rsidRDefault="002A7510" w:rsidP="002A7510">
      <w:pPr>
        <w:spacing w:after="120"/>
        <w:rPr>
          <w:i/>
        </w:rPr>
      </w:pPr>
    </w:p>
    <w:p w14:paraId="0F205841" w14:textId="77777777" w:rsidR="000C70A8" w:rsidRDefault="000C70A8" w:rsidP="002A7510">
      <w:pPr>
        <w:spacing w:after="120"/>
        <w:rPr>
          <w:i/>
        </w:rPr>
      </w:pPr>
    </w:p>
    <w:p w14:paraId="66E67DFE" w14:textId="77777777" w:rsidR="000C70A8" w:rsidRDefault="000C70A8" w:rsidP="002A7510">
      <w:pPr>
        <w:spacing w:after="120"/>
        <w:rPr>
          <w:i/>
        </w:rPr>
      </w:pPr>
    </w:p>
    <w:p w14:paraId="337C64F2" w14:textId="77777777" w:rsidR="000C70A8" w:rsidRDefault="000C70A8" w:rsidP="002A7510">
      <w:pPr>
        <w:spacing w:after="120"/>
        <w:rPr>
          <w:i/>
        </w:rPr>
      </w:pPr>
    </w:p>
    <w:p w14:paraId="4639726D" w14:textId="77777777" w:rsidR="000C70A8" w:rsidRDefault="000C70A8" w:rsidP="002A7510">
      <w:pPr>
        <w:spacing w:after="120"/>
        <w:rPr>
          <w:i/>
        </w:rPr>
      </w:pPr>
    </w:p>
    <w:p w14:paraId="6663136C" w14:textId="77777777" w:rsidR="000C70A8" w:rsidRPr="000C70A8" w:rsidRDefault="000C70A8" w:rsidP="002A7510">
      <w:pPr>
        <w:spacing w:after="120"/>
        <w:rPr>
          <w:i/>
        </w:rPr>
      </w:pPr>
    </w:p>
    <w:p w14:paraId="4C82050A" w14:textId="77777777" w:rsidR="002A7510" w:rsidRPr="000C70A8" w:rsidRDefault="002A7510" w:rsidP="002A7510">
      <w:pPr>
        <w:spacing w:after="120"/>
        <w:rPr>
          <w:i/>
        </w:rPr>
      </w:pPr>
      <w:r w:rsidRPr="000C70A8">
        <w:rPr>
          <w:noProof/>
        </w:rPr>
        <w:lastRenderedPageBreak/>
        <w:drawing>
          <wp:anchor distT="0" distB="0" distL="114300" distR="114300" simplePos="0" relativeHeight="251664384" behindDoc="0" locked="0" layoutInCell="1" allowOverlap="1" wp14:anchorId="64847B40" wp14:editId="4979208A">
            <wp:simplePos x="0" y="0"/>
            <wp:positionH relativeFrom="column">
              <wp:posOffset>271780</wp:posOffset>
            </wp:positionH>
            <wp:positionV relativeFrom="paragraph">
              <wp:posOffset>189865</wp:posOffset>
            </wp:positionV>
            <wp:extent cx="5115435" cy="3152775"/>
            <wp:effectExtent l="0" t="0" r="9525" b="0"/>
            <wp:wrapNone/>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15435" cy="3152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70A8">
        <w:rPr>
          <w:i/>
        </w:rPr>
        <w:t>Graf č. 5: Vývoj vývozu SR do piatich najvýznamnejších krajín v období 2010-2016</w:t>
      </w:r>
    </w:p>
    <w:p w14:paraId="33082EBE" w14:textId="77777777" w:rsidR="002A7510" w:rsidRPr="000C70A8" w:rsidRDefault="002A7510" w:rsidP="002A7510">
      <w:pPr>
        <w:spacing w:after="120"/>
        <w:jc w:val="center"/>
      </w:pPr>
    </w:p>
    <w:p w14:paraId="5BF60E42" w14:textId="77777777" w:rsidR="002A7510" w:rsidRPr="000C70A8" w:rsidRDefault="002A7510" w:rsidP="002A7510">
      <w:pPr>
        <w:spacing w:after="120"/>
        <w:jc w:val="center"/>
      </w:pPr>
    </w:p>
    <w:p w14:paraId="098DCEA6" w14:textId="77777777" w:rsidR="002A7510" w:rsidRPr="000C70A8" w:rsidRDefault="002A7510" w:rsidP="002A7510">
      <w:pPr>
        <w:spacing w:after="120"/>
        <w:jc w:val="center"/>
      </w:pPr>
    </w:p>
    <w:p w14:paraId="203D7386" w14:textId="77777777" w:rsidR="002A7510" w:rsidRPr="000C70A8" w:rsidRDefault="002A7510" w:rsidP="002A7510">
      <w:pPr>
        <w:spacing w:after="120"/>
        <w:jc w:val="center"/>
      </w:pPr>
    </w:p>
    <w:p w14:paraId="70859E83" w14:textId="77777777" w:rsidR="002A7510" w:rsidRPr="000C70A8" w:rsidRDefault="002A7510" w:rsidP="002A7510">
      <w:pPr>
        <w:spacing w:after="120"/>
        <w:jc w:val="center"/>
      </w:pPr>
    </w:p>
    <w:p w14:paraId="511F08B1" w14:textId="77777777" w:rsidR="002A7510" w:rsidRPr="000C70A8" w:rsidRDefault="002A7510" w:rsidP="002A7510">
      <w:pPr>
        <w:spacing w:after="120"/>
        <w:jc w:val="center"/>
      </w:pPr>
    </w:p>
    <w:p w14:paraId="2E9D46F1" w14:textId="77777777" w:rsidR="002A7510" w:rsidRPr="000C70A8" w:rsidRDefault="002A7510" w:rsidP="002A7510">
      <w:pPr>
        <w:spacing w:after="120"/>
        <w:jc w:val="center"/>
      </w:pPr>
    </w:p>
    <w:p w14:paraId="62B760D1" w14:textId="77777777" w:rsidR="002A7510" w:rsidRPr="000C70A8" w:rsidRDefault="002A7510" w:rsidP="002A7510">
      <w:pPr>
        <w:spacing w:after="120"/>
        <w:jc w:val="center"/>
      </w:pPr>
    </w:p>
    <w:p w14:paraId="300A26E4" w14:textId="77777777" w:rsidR="002A7510" w:rsidRPr="000C70A8" w:rsidRDefault="002A7510" w:rsidP="002A7510">
      <w:pPr>
        <w:spacing w:after="120"/>
        <w:jc w:val="center"/>
      </w:pPr>
    </w:p>
    <w:p w14:paraId="1082C110" w14:textId="77777777" w:rsidR="002A7510" w:rsidRPr="000C70A8" w:rsidRDefault="002A7510" w:rsidP="002A7510">
      <w:pPr>
        <w:spacing w:after="120"/>
        <w:jc w:val="center"/>
      </w:pPr>
    </w:p>
    <w:p w14:paraId="03353A30" w14:textId="77777777" w:rsidR="002A7510" w:rsidRPr="000C70A8" w:rsidRDefault="002A7510" w:rsidP="002A7510">
      <w:pPr>
        <w:spacing w:after="120"/>
      </w:pPr>
      <w:r w:rsidRPr="000C70A8">
        <w:t xml:space="preserve"> </w:t>
      </w:r>
    </w:p>
    <w:p w14:paraId="2C05FFD5" w14:textId="77777777" w:rsidR="002A7510" w:rsidRPr="000C70A8" w:rsidRDefault="002A7510" w:rsidP="002A7510">
      <w:pPr>
        <w:spacing w:after="120"/>
      </w:pPr>
      <w:r w:rsidRPr="000C70A8">
        <w:t xml:space="preserve"> </w:t>
      </w:r>
    </w:p>
    <w:p w14:paraId="7D34514A" w14:textId="77777777" w:rsidR="002A7510" w:rsidRPr="000C70A8" w:rsidRDefault="002A7510" w:rsidP="002A7510">
      <w:pPr>
        <w:spacing w:after="120"/>
      </w:pPr>
    </w:p>
    <w:p w14:paraId="61FB9EAB" w14:textId="42E05EFA" w:rsidR="002A7510" w:rsidRDefault="002A7510" w:rsidP="0006283F">
      <w:pPr>
        <w:spacing w:after="120"/>
      </w:pPr>
      <w:r w:rsidRPr="000C70A8">
        <w:t>Zdroj údajov: Štatistický úrad SR</w:t>
      </w:r>
    </w:p>
    <w:p w14:paraId="7871F7E8" w14:textId="77777777" w:rsidR="0006283F" w:rsidRPr="0006283F" w:rsidRDefault="0006283F" w:rsidP="0006283F">
      <w:pPr>
        <w:spacing w:after="120"/>
        <w:rPr>
          <w:rStyle w:val="Siln"/>
          <w:b w:val="0"/>
          <w:bCs w:val="0"/>
        </w:rPr>
      </w:pPr>
    </w:p>
    <w:p w14:paraId="33265F02" w14:textId="77777777" w:rsidR="00DD07C7" w:rsidRPr="00FD068D" w:rsidRDefault="00DD07C7" w:rsidP="00DD07C7">
      <w:pPr>
        <w:pStyle w:val="Nadpis3"/>
        <w:rPr>
          <w:rFonts w:ascii="Times New Roman" w:hAnsi="Times New Roman" w:cs="Times New Roman"/>
          <w:color w:val="auto"/>
          <w:sz w:val="24"/>
        </w:rPr>
      </w:pPr>
      <w:bookmarkStart w:id="30" w:name="_Toc461452550"/>
      <w:bookmarkStart w:id="31" w:name="_Toc498377387"/>
      <w:bookmarkStart w:id="32" w:name="_Toc500503411"/>
      <w:bookmarkStart w:id="33" w:name="_Toc498377388"/>
      <w:r w:rsidRPr="00FD068D">
        <w:rPr>
          <w:rFonts w:ascii="Times New Roman" w:hAnsi="Times New Roman" w:cs="Times New Roman"/>
          <w:color w:val="auto"/>
          <w:sz w:val="24"/>
        </w:rPr>
        <w:t>3.1.4 Diverzifikácia komoditnej štruktúry exportu - zvýšiť podiel exportu v komoditných skupinách okrem HS85 a HS87</w:t>
      </w:r>
      <w:bookmarkEnd w:id="30"/>
      <w:bookmarkEnd w:id="31"/>
      <w:bookmarkEnd w:id="32"/>
      <w:r w:rsidRPr="00FD068D">
        <w:rPr>
          <w:rFonts w:ascii="Times New Roman" w:hAnsi="Times New Roman" w:cs="Times New Roman"/>
          <w:color w:val="auto"/>
          <w:sz w:val="24"/>
        </w:rPr>
        <w:t xml:space="preserve"> </w:t>
      </w:r>
    </w:p>
    <w:p w14:paraId="6217A84A" w14:textId="77777777" w:rsidR="00DD07C7" w:rsidRPr="00FD068D" w:rsidRDefault="00DD07C7" w:rsidP="00DD07C7"/>
    <w:p w14:paraId="40A0138C" w14:textId="77777777" w:rsidR="00DD07C7" w:rsidRPr="000C70A8" w:rsidRDefault="00DD07C7" w:rsidP="00DD07C7">
      <w:pPr>
        <w:spacing w:after="120"/>
        <w:ind w:firstLine="709"/>
        <w:jc w:val="both"/>
      </w:pPr>
      <w:r w:rsidRPr="000C70A8">
        <w:t xml:space="preserve">Najvýznamnejšie </w:t>
      </w:r>
      <w:r w:rsidRPr="000C70A8">
        <w:rPr>
          <w:b/>
          <w:i/>
        </w:rPr>
        <w:t xml:space="preserve">vývozné komodity </w:t>
      </w:r>
      <w:r w:rsidRPr="000C70A8">
        <w:t xml:space="preserve">(úroveň kapitol colného sadzobníka HS2) sú uvedené v nasledujúcej tabuľke. Ich súhrn pokrýva </w:t>
      </w:r>
      <w:r w:rsidRPr="000C70A8">
        <w:rPr>
          <w:b/>
        </w:rPr>
        <w:t>80,6 %</w:t>
      </w:r>
      <w:r w:rsidRPr="000C70A8">
        <w:t xml:space="preserve"> celkového exportu SR.</w:t>
      </w:r>
    </w:p>
    <w:p w14:paraId="581AB494" w14:textId="77777777" w:rsidR="00DD07C7" w:rsidRPr="000C70A8" w:rsidRDefault="00DD07C7" w:rsidP="00DD07C7">
      <w:pPr>
        <w:spacing w:after="120"/>
        <w:jc w:val="both"/>
      </w:pPr>
      <w:r w:rsidRPr="000C70A8">
        <w:rPr>
          <w:noProof/>
        </w:rPr>
        <w:drawing>
          <wp:anchor distT="0" distB="0" distL="114300" distR="114300" simplePos="0" relativeHeight="251667456" behindDoc="0" locked="0" layoutInCell="1" allowOverlap="1" wp14:anchorId="2F2B914D" wp14:editId="35720619">
            <wp:simplePos x="0" y="0"/>
            <wp:positionH relativeFrom="column">
              <wp:posOffset>4445</wp:posOffset>
            </wp:positionH>
            <wp:positionV relativeFrom="paragraph">
              <wp:posOffset>254635</wp:posOffset>
            </wp:positionV>
            <wp:extent cx="5686425" cy="2733675"/>
            <wp:effectExtent l="0" t="0" r="9525" b="9525"/>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86425" cy="2733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70A8">
        <w:rPr>
          <w:i/>
        </w:rPr>
        <w:t>Tabuľka č. 3: Najvýznamnejšie vývozné komodity (kapitoly colného sadzobníka HS2)</w:t>
      </w:r>
    </w:p>
    <w:p w14:paraId="138E7FFD" w14:textId="77777777" w:rsidR="00DD07C7" w:rsidRPr="000C70A8" w:rsidRDefault="00DD07C7" w:rsidP="00DD07C7">
      <w:pPr>
        <w:spacing w:line="276" w:lineRule="auto"/>
        <w:jc w:val="center"/>
      </w:pPr>
    </w:p>
    <w:p w14:paraId="5CD0C7CD" w14:textId="77777777" w:rsidR="00DD07C7" w:rsidRPr="000C70A8" w:rsidRDefault="00DD07C7" w:rsidP="00DD07C7">
      <w:pPr>
        <w:spacing w:line="276" w:lineRule="auto"/>
        <w:jc w:val="center"/>
      </w:pPr>
    </w:p>
    <w:p w14:paraId="508DFAD5" w14:textId="77777777" w:rsidR="00DD07C7" w:rsidRPr="000C70A8" w:rsidRDefault="00DD07C7" w:rsidP="00DD07C7">
      <w:pPr>
        <w:spacing w:line="276" w:lineRule="auto"/>
        <w:jc w:val="center"/>
      </w:pPr>
    </w:p>
    <w:p w14:paraId="71DCA4C7" w14:textId="77777777" w:rsidR="00DD07C7" w:rsidRPr="000C70A8" w:rsidRDefault="00DD07C7" w:rsidP="00DD07C7">
      <w:pPr>
        <w:spacing w:line="276" w:lineRule="auto"/>
        <w:jc w:val="center"/>
      </w:pPr>
    </w:p>
    <w:p w14:paraId="38AA599C" w14:textId="77777777" w:rsidR="00DD07C7" w:rsidRPr="000C70A8" w:rsidRDefault="00DD07C7" w:rsidP="00DD07C7">
      <w:pPr>
        <w:spacing w:line="276" w:lineRule="auto"/>
        <w:jc w:val="center"/>
      </w:pPr>
    </w:p>
    <w:p w14:paraId="7A3C7E20" w14:textId="77777777" w:rsidR="00DD07C7" w:rsidRPr="000C70A8" w:rsidRDefault="00DD07C7" w:rsidP="00DD07C7">
      <w:pPr>
        <w:spacing w:line="276" w:lineRule="auto"/>
        <w:jc w:val="center"/>
      </w:pPr>
    </w:p>
    <w:p w14:paraId="7DBF8443" w14:textId="77777777" w:rsidR="00DD07C7" w:rsidRPr="000C70A8" w:rsidRDefault="00DD07C7" w:rsidP="00DD07C7">
      <w:pPr>
        <w:spacing w:line="276" w:lineRule="auto"/>
        <w:jc w:val="center"/>
      </w:pPr>
    </w:p>
    <w:p w14:paraId="3741FB19" w14:textId="77777777" w:rsidR="00DD07C7" w:rsidRPr="000C70A8" w:rsidRDefault="00DD07C7" w:rsidP="00DD07C7">
      <w:pPr>
        <w:spacing w:line="276" w:lineRule="auto"/>
        <w:jc w:val="center"/>
      </w:pPr>
    </w:p>
    <w:p w14:paraId="794AB230" w14:textId="77777777" w:rsidR="00DD07C7" w:rsidRPr="000C70A8" w:rsidRDefault="00DD07C7" w:rsidP="00DD07C7">
      <w:pPr>
        <w:spacing w:line="276" w:lineRule="auto"/>
        <w:jc w:val="center"/>
      </w:pPr>
    </w:p>
    <w:p w14:paraId="41A2DFE9" w14:textId="77777777" w:rsidR="00DD07C7" w:rsidRPr="000C70A8" w:rsidRDefault="00DD07C7" w:rsidP="00DD07C7">
      <w:pPr>
        <w:spacing w:line="276" w:lineRule="auto"/>
        <w:jc w:val="center"/>
      </w:pPr>
    </w:p>
    <w:p w14:paraId="2074CCE1" w14:textId="77777777" w:rsidR="00DD07C7" w:rsidRPr="000C70A8" w:rsidRDefault="00DD07C7" w:rsidP="00DD07C7">
      <w:pPr>
        <w:spacing w:line="276" w:lineRule="auto"/>
        <w:jc w:val="center"/>
      </w:pPr>
    </w:p>
    <w:p w14:paraId="3BE4A868" w14:textId="77777777" w:rsidR="00DD07C7" w:rsidRPr="000C70A8" w:rsidRDefault="00DD07C7" w:rsidP="00DD07C7">
      <w:pPr>
        <w:spacing w:line="276" w:lineRule="auto"/>
        <w:jc w:val="center"/>
      </w:pPr>
    </w:p>
    <w:p w14:paraId="4E1D815C" w14:textId="77777777" w:rsidR="00DD07C7" w:rsidRPr="000C70A8" w:rsidRDefault="00DD07C7" w:rsidP="00DD07C7">
      <w:pPr>
        <w:spacing w:line="276" w:lineRule="auto"/>
        <w:jc w:val="center"/>
      </w:pPr>
    </w:p>
    <w:p w14:paraId="5CF88F9F" w14:textId="77777777" w:rsidR="00DD07C7" w:rsidRPr="000C70A8" w:rsidRDefault="00DD07C7" w:rsidP="00DD07C7">
      <w:pPr>
        <w:spacing w:line="276" w:lineRule="auto"/>
        <w:jc w:val="center"/>
      </w:pPr>
    </w:p>
    <w:p w14:paraId="46AAA180" w14:textId="77777777" w:rsidR="00DD07C7" w:rsidRPr="000C70A8" w:rsidRDefault="00DD07C7" w:rsidP="00DD07C7">
      <w:pPr>
        <w:spacing w:after="120"/>
        <w:jc w:val="both"/>
        <w:rPr>
          <w:b/>
        </w:rPr>
      </w:pPr>
      <w:r w:rsidRPr="000C70A8">
        <w:t>Zdroj údajov: Štatistický úrad SR</w:t>
      </w:r>
    </w:p>
    <w:p w14:paraId="1B028411" w14:textId="77777777" w:rsidR="00DD07C7" w:rsidRPr="000C70A8" w:rsidRDefault="00DD07C7" w:rsidP="00DD07C7">
      <w:pPr>
        <w:spacing w:after="120"/>
        <w:jc w:val="both"/>
      </w:pPr>
    </w:p>
    <w:p w14:paraId="4A914E7A" w14:textId="77777777" w:rsidR="00DD07C7" w:rsidRPr="000C70A8" w:rsidRDefault="00DD07C7" w:rsidP="00DD07C7">
      <w:pPr>
        <w:spacing w:after="120"/>
        <w:jc w:val="both"/>
      </w:pPr>
    </w:p>
    <w:p w14:paraId="437C710B" w14:textId="77777777" w:rsidR="00DD07C7" w:rsidRPr="000C70A8" w:rsidRDefault="00DD07C7" w:rsidP="00DD07C7">
      <w:pPr>
        <w:spacing w:after="120"/>
        <w:jc w:val="both"/>
      </w:pPr>
      <w:r w:rsidRPr="000C70A8">
        <w:lastRenderedPageBreak/>
        <w:t>Štruktúru jednotlivých komodít na celkovom vývoze SR zobrazuje nasledujúci graf:</w:t>
      </w:r>
    </w:p>
    <w:p w14:paraId="18097ADB" w14:textId="77777777" w:rsidR="00DD07C7" w:rsidRPr="000C70A8" w:rsidRDefault="00DD07C7" w:rsidP="00DD07C7">
      <w:pPr>
        <w:spacing w:after="120"/>
        <w:jc w:val="both"/>
        <w:rPr>
          <w:i/>
        </w:rPr>
      </w:pPr>
      <w:r w:rsidRPr="000C70A8">
        <w:rPr>
          <w:noProof/>
        </w:rPr>
        <w:drawing>
          <wp:anchor distT="0" distB="0" distL="114300" distR="114300" simplePos="0" relativeHeight="251668480" behindDoc="0" locked="0" layoutInCell="1" allowOverlap="1" wp14:anchorId="7260BFBA" wp14:editId="04A829D3">
            <wp:simplePos x="0" y="0"/>
            <wp:positionH relativeFrom="column">
              <wp:posOffset>-4445</wp:posOffset>
            </wp:positionH>
            <wp:positionV relativeFrom="paragraph">
              <wp:posOffset>251460</wp:posOffset>
            </wp:positionV>
            <wp:extent cx="5772150" cy="3641090"/>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72150" cy="3641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70A8">
        <w:rPr>
          <w:i/>
        </w:rPr>
        <w:t>Graf č. 6: Komoditná štruktúra vývozu SR v roku 2016</w:t>
      </w:r>
    </w:p>
    <w:p w14:paraId="3EBADE74" w14:textId="77777777" w:rsidR="00DD07C7" w:rsidRPr="000C70A8" w:rsidRDefault="00DD07C7" w:rsidP="00DD07C7">
      <w:pPr>
        <w:spacing w:after="200" w:line="276" w:lineRule="auto"/>
        <w:jc w:val="center"/>
        <w:rPr>
          <w:noProof/>
        </w:rPr>
      </w:pPr>
    </w:p>
    <w:p w14:paraId="21F4D924" w14:textId="77777777" w:rsidR="00DD07C7" w:rsidRPr="000C70A8" w:rsidRDefault="00DD07C7" w:rsidP="00DD07C7">
      <w:pPr>
        <w:spacing w:after="200" w:line="276" w:lineRule="auto"/>
        <w:jc w:val="center"/>
        <w:rPr>
          <w:noProof/>
        </w:rPr>
      </w:pPr>
    </w:p>
    <w:p w14:paraId="493AFB1E" w14:textId="77777777" w:rsidR="00DD07C7" w:rsidRPr="000C70A8" w:rsidRDefault="00DD07C7" w:rsidP="00DD07C7">
      <w:pPr>
        <w:spacing w:after="200" w:line="276" w:lineRule="auto"/>
        <w:jc w:val="center"/>
        <w:rPr>
          <w:noProof/>
        </w:rPr>
      </w:pPr>
    </w:p>
    <w:p w14:paraId="76C07AD9" w14:textId="77777777" w:rsidR="00DD07C7" w:rsidRPr="000C70A8" w:rsidRDefault="00DD07C7" w:rsidP="00DD07C7">
      <w:pPr>
        <w:spacing w:after="200" w:line="276" w:lineRule="auto"/>
        <w:jc w:val="center"/>
        <w:rPr>
          <w:noProof/>
        </w:rPr>
      </w:pPr>
    </w:p>
    <w:p w14:paraId="5135C593" w14:textId="77777777" w:rsidR="00DD07C7" w:rsidRPr="000C70A8" w:rsidRDefault="00DD07C7" w:rsidP="00DD07C7">
      <w:pPr>
        <w:spacing w:after="200" w:line="276" w:lineRule="auto"/>
        <w:jc w:val="center"/>
        <w:rPr>
          <w:noProof/>
        </w:rPr>
      </w:pPr>
    </w:p>
    <w:p w14:paraId="16E98414" w14:textId="77777777" w:rsidR="00DD07C7" w:rsidRPr="000C70A8" w:rsidRDefault="00DD07C7" w:rsidP="00DD07C7">
      <w:pPr>
        <w:spacing w:after="200" w:line="276" w:lineRule="auto"/>
        <w:jc w:val="center"/>
        <w:rPr>
          <w:noProof/>
        </w:rPr>
      </w:pPr>
    </w:p>
    <w:p w14:paraId="177CA76B" w14:textId="77777777" w:rsidR="00DD07C7" w:rsidRPr="000C70A8" w:rsidRDefault="00DD07C7" w:rsidP="00DD07C7">
      <w:pPr>
        <w:spacing w:after="200" w:line="276" w:lineRule="auto"/>
        <w:jc w:val="center"/>
        <w:rPr>
          <w:noProof/>
        </w:rPr>
      </w:pPr>
    </w:p>
    <w:p w14:paraId="242F7789" w14:textId="77777777" w:rsidR="00DD07C7" w:rsidRPr="000C70A8" w:rsidRDefault="00DD07C7" w:rsidP="00DD07C7">
      <w:pPr>
        <w:spacing w:after="200" w:line="276" w:lineRule="auto"/>
        <w:jc w:val="center"/>
        <w:rPr>
          <w:noProof/>
        </w:rPr>
      </w:pPr>
    </w:p>
    <w:p w14:paraId="4C097712" w14:textId="77777777" w:rsidR="00DD07C7" w:rsidRPr="000C70A8" w:rsidRDefault="00DD07C7" w:rsidP="00DD07C7">
      <w:pPr>
        <w:spacing w:after="200" w:line="276" w:lineRule="auto"/>
        <w:jc w:val="center"/>
        <w:rPr>
          <w:noProof/>
        </w:rPr>
      </w:pPr>
    </w:p>
    <w:p w14:paraId="2229BF23" w14:textId="77777777" w:rsidR="00DD07C7" w:rsidRPr="000C70A8" w:rsidRDefault="00DD07C7" w:rsidP="00DD07C7">
      <w:pPr>
        <w:spacing w:after="200" w:line="276" w:lineRule="auto"/>
        <w:jc w:val="center"/>
        <w:rPr>
          <w:noProof/>
        </w:rPr>
      </w:pPr>
    </w:p>
    <w:p w14:paraId="36967423" w14:textId="77777777" w:rsidR="00DD07C7" w:rsidRPr="000C70A8" w:rsidRDefault="00DD07C7" w:rsidP="00DD07C7">
      <w:pPr>
        <w:spacing w:after="200" w:line="276" w:lineRule="auto"/>
        <w:jc w:val="center"/>
        <w:rPr>
          <w:noProof/>
        </w:rPr>
      </w:pPr>
    </w:p>
    <w:p w14:paraId="44F23510" w14:textId="77777777" w:rsidR="00DD07C7" w:rsidRPr="000C70A8" w:rsidRDefault="00DD07C7" w:rsidP="00DD07C7">
      <w:pPr>
        <w:spacing w:after="120"/>
        <w:jc w:val="both"/>
        <w:rPr>
          <w:b/>
        </w:rPr>
      </w:pPr>
      <w:r w:rsidRPr="000C70A8">
        <w:t>Zdroj údajov: Štatistický úrad SR</w:t>
      </w:r>
    </w:p>
    <w:p w14:paraId="1AEA7231" w14:textId="77777777" w:rsidR="00DD07C7" w:rsidRDefault="00DD07C7" w:rsidP="00DD07C7">
      <w:pPr>
        <w:jc w:val="both"/>
        <w:rPr>
          <w:rFonts w:eastAsiaTheme="majorEastAsia"/>
          <w:b/>
          <w:bCs/>
          <w:color w:val="000000" w:themeColor="text1"/>
          <w:highlight w:val="yellow"/>
        </w:rPr>
      </w:pPr>
    </w:p>
    <w:p w14:paraId="7FEBAD3D" w14:textId="0FB907E2" w:rsidR="00D01F25" w:rsidRPr="00FD068D" w:rsidRDefault="00955F14" w:rsidP="00386C66">
      <w:pPr>
        <w:pStyle w:val="Nadpis3"/>
        <w:rPr>
          <w:rFonts w:ascii="Times New Roman" w:hAnsi="Times New Roman" w:cs="Times New Roman"/>
          <w:color w:val="auto"/>
          <w:sz w:val="24"/>
          <w:lang w:eastAsia="cs-CZ"/>
          <w14:ligatures w14:val="standard"/>
        </w:rPr>
      </w:pPr>
      <w:bookmarkStart w:id="34" w:name="_Toc500503412"/>
      <w:r w:rsidRPr="00FD068D">
        <w:rPr>
          <w:rFonts w:ascii="Times New Roman" w:hAnsi="Times New Roman" w:cs="Times New Roman"/>
          <w:color w:val="auto"/>
          <w:sz w:val="24"/>
        </w:rPr>
        <w:t>3.1.5</w:t>
      </w:r>
      <w:r w:rsidR="00D01F25" w:rsidRPr="00FD068D">
        <w:rPr>
          <w:rFonts w:ascii="Times New Roman" w:hAnsi="Times New Roman" w:cs="Times New Roman"/>
          <w:color w:val="auto"/>
          <w:sz w:val="24"/>
        </w:rPr>
        <w:t xml:space="preserve"> Hlavné strategické ciele EXIMBANKY SR v nadväznosti na stratégiu VEV</w:t>
      </w:r>
      <w:bookmarkEnd w:id="3"/>
      <w:bookmarkEnd w:id="4"/>
      <w:bookmarkEnd w:id="5"/>
      <w:bookmarkEnd w:id="33"/>
      <w:bookmarkEnd w:id="34"/>
    </w:p>
    <w:p w14:paraId="0F62017D" w14:textId="77777777" w:rsidR="00D01F25" w:rsidRPr="00FD068D" w:rsidRDefault="00D01F25" w:rsidP="00D01F25">
      <w:pPr>
        <w:jc w:val="both"/>
        <w:rPr>
          <w:sz w:val="22"/>
        </w:rPr>
      </w:pPr>
    </w:p>
    <w:p w14:paraId="3DDFC358" w14:textId="0F09E77A" w:rsidR="00D01F25" w:rsidRPr="00955F14" w:rsidRDefault="00D01F25" w:rsidP="00D01F25">
      <w:pPr>
        <w:jc w:val="both"/>
      </w:pPr>
      <w:r w:rsidRPr="00955F14">
        <w:t xml:space="preserve">Cieľom EXIMBANKY SR, v zmysle zámerov stanovených v stratégii VEV, je v čo najvyššej miere zohľadňovať potreby svojich klientov, pričom jej primárnym cieľom je umožniť vstup slovenským exportérom do projektov a teritórií, kde komerčný finančný sektor prejavuje menší záujem prevziať na seba riziko. Jej úlohou je zlepšiť hospodársku výmenu Slovenskej republiky so zahraničím, zvýšiť konkurencieschopnosť slovenských výrobcov </w:t>
      </w:r>
      <w:r w:rsidR="0006283F">
        <w:br/>
      </w:r>
      <w:r w:rsidRPr="00955F14">
        <w:t>na</w:t>
      </w:r>
      <w:r w:rsidR="0006283F">
        <w:t xml:space="preserve"> </w:t>
      </w:r>
      <w:r w:rsidRPr="00955F14">
        <w:t xml:space="preserve">zahraničných trhoch, ako aj podporovať vývoz čo najväčšieho objemu výrobkov s vysokou mierou pridanej hodnoty. </w:t>
      </w:r>
    </w:p>
    <w:p w14:paraId="4C55E3E1" w14:textId="77777777" w:rsidR="00D01F25" w:rsidRPr="00955F14" w:rsidRDefault="00D01F25" w:rsidP="00D01F25">
      <w:pPr>
        <w:jc w:val="both"/>
      </w:pPr>
    </w:p>
    <w:p w14:paraId="16141192" w14:textId="0A01DE08" w:rsidR="00D01F25" w:rsidRPr="00955F14" w:rsidRDefault="00D01F25" w:rsidP="00D01F25">
      <w:pPr>
        <w:widowControl w:val="0"/>
        <w:autoSpaceDE w:val="0"/>
        <w:autoSpaceDN w:val="0"/>
        <w:adjustRightInd w:val="0"/>
        <w:jc w:val="both"/>
      </w:pPr>
      <w:r w:rsidRPr="00955F14">
        <w:t xml:space="preserve">EXIMBANKA SR ponúka širokú škálu finančných produktov. Na strane vývozu je to predovšetkým úverové poistenie, financovanie a záruky. Na strane importu je to financovanie dovozu technológií, ktoré v konečnom dôsledku umožňujú vývoz kvalitnejšej produkcie </w:t>
      </w:r>
      <w:r w:rsidR="0006283F">
        <w:br/>
      </w:r>
      <w:r w:rsidRPr="00955F14">
        <w:t xml:space="preserve">s vysokou mierou pridanej hodnoty. </w:t>
      </w:r>
    </w:p>
    <w:p w14:paraId="1AF2D7EC" w14:textId="77777777" w:rsidR="00D01F25" w:rsidRPr="00955F14" w:rsidRDefault="00D01F25" w:rsidP="00D01F25">
      <w:pPr>
        <w:widowControl w:val="0"/>
        <w:autoSpaceDE w:val="0"/>
        <w:autoSpaceDN w:val="0"/>
        <w:adjustRightInd w:val="0"/>
        <w:jc w:val="both"/>
      </w:pPr>
    </w:p>
    <w:p w14:paraId="71522FF4" w14:textId="77777777" w:rsidR="00D01F25" w:rsidRPr="00955F14" w:rsidRDefault="00D01F25" w:rsidP="00D01F25">
      <w:pPr>
        <w:widowControl w:val="0"/>
        <w:autoSpaceDE w:val="0"/>
        <w:autoSpaceDN w:val="0"/>
        <w:adjustRightInd w:val="0"/>
        <w:jc w:val="both"/>
      </w:pPr>
      <w:r w:rsidRPr="00955F14">
        <w:t>Produkty EXIMBANKY SR sú určené malým, stredným aj veľkým slovenským podnikateľským subjektom, pričom EXIMBANKA SR venuje osobitnú pozornosť segmentu MSP, ktorých kapitálová vybavenosť nie vždy spĺňa pravidlá pre bezpečné poskytovanie produktov v rámci financovania a poisťovania širokej škály úverových produktov.</w:t>
      </w:r>
    </w:p>
    <w:p w14:paraId="79069ED2" w14:textId="77777777" w:rsidR="00D01F25" w:rsidRPr="00955F14" w:rsidRDefault="00D01F25" w:rsidP="00D01F25">
      <w:pPr>
        <w:jc w:val="both"/>
      </w:pPr>
    </w:p>
    <w:p w14:paraId="0E07CFCF" w14:textId="04AFA0EB" w:rsidR="00D01F25" w:rsidRPr="00955F14" w:rsidRDefault="00D01F25" w:rsidP="00D01F25">
      <w:pPr>
        <w:jc w:val="both"/>
      </w:pPr>
      <w:r w:rsidRPr="00955F14">
        <w:t xml:space="preserve">EXIMBANKA SR od roku 2015 výrazne posilňuje svoje aktivity aj v poskytovaní  poradenstva v oblasti podpory exportu. Aj v roku 2016 pokračovala okrem poskytovania individuálneho poradenstva aj v úspešnej realizácii Exportných klubov EXIMBANKY SR, prostredníctvom ktorých je bezplatne poskytované odborné poradenstvo, ale budúci exportéri </w:t>
      </w:r>
      <w:r w:rsidRPr="00955F14">
        <w:lastRenderedPageBreak/>
        <w:t xml:space="preserve">sú aj oboznamovaní s praktickými skúsenosťami a riešeniami problémov súvisiacich s exportom a so špecifikáciami obchodovania na jednotlivých zahraničných trhoch. </w:t>
      </w:r>
      <w:r w:rsidR="0006283F">
        <w:br/>
      </w:r>
      <w:r w:rsidRPr="00955F14">
        <w:t>Od 1.1.2016 môže EXIMBANKA SR poskytovať slovenským exportérom, ktorí majú kontrakty vo vybraných krajinách zaradených podľa Svetovej banky ako nízkopríjmové, zvýhodnené vývozné úvery v súlade s pravidlami OECD.</w:t>
      </w:r>
    </w:p>
    <w:p w14:paraId="5CBBF2DE" w14:textId="77777777" w:rsidR="00D01F25" w:rsidRPr="00955F14" w:rsidRDefault="00D01F25" w:rsidP="00D01F25">
      <w:pPr>
        <w:jc w:val="both"/>
      </w:pPr>
    </w:p>
    <w:p w14:paraId="3161111B" w14:textId="77777777" w:rsidR="00D01F25" w:rsidRPr="00955F14" w:rsidRDefault="00D01F25" w:rsidP="00D01F25">
      <w:pPr>
        <w:rPr>
          <w:rFonts w:eastAsiaTheme="majorEastAsia"/>
          <w:b/>
          <w:iCs/>
        </w:rPr>
      </w:pPr>
      <w:bookmarkStart w:id="35" w:name="_Toc418586863"/>
      <w:bookmarkStart w:id="36" w:name="_Toc421797925"/>
      <w:r w:rsidRPr="00955F14">
        <w:rPr>
          <w:rFonts w:eastAsiaTheme="majorEastAsia"/>
          <w:b/>
          <w:iCs/>
        </w:rPr>
        <w:t>Teritoriálne zameranie podpory exportu – diverzifikácia teritoriálnej štruktúry</w:t>
      </w:r>
      <w:bookmarkEnd w:id="35"/>
      <w:bookmarkEnd w:id="36"/>
    </w:p>
    <w:p w14:paraId="73DA0635" w14:textId="77777777" w:rsidR="00D01F25" w:rsidRPr="00955F14" w:rsidRDefault="00D01F25" w:rsidP="00D01F25">
      <w:pPr>
        <w:jc w:val="both"/>
        <w:rPr>
          <w:b/>
          <w:i/>
        </w:rPr>
      </w:pPr>
    </w:p>
    <w:p w14:paraId="0E2D1173" w14:textId="77777777" w:rsidR="00D01F25" w:rsidRPr="00955F14" w:rsidRDefault="00D01F25" w:rsidP="00D01F25">
      <w:pPr>
        <w:jc w:val="both"/>
        <w:rPr>
          <w:snapToGrid w:val="0"/>
        </w:rPr>
      </w:pPr>
      <w:r w:rsidRPr="00955F14">
        <w:rPr>
          <w:snapToGrid w:val="0"/>
        </w:rPr>
        <w:t xml:space="preserve">V teritoriálnej štruktúre podpory exportu prostredníctvom produktov EXIMBANKY SR aj naďalej </w:t>
      </w:r>
      <w:r w:rsidRPr="00955F14">
        <w:rPr>
          <w:b/>
          <w:snapToGrid w:val="0"/>
        </w:rPr>
        <w:t>zostáva strategickým zámerom zvýšenie podpory exportu mimo krajín EÚ</w:t>
      </w:r>
      <w:r w:rsidRPr="00955F14">
        <w:rPr>
          <w:snapToGrid w:val="0"/>
        </w:rPr>
        <w:t>.</w:t>
      </w:r>
    </w:p>
    <w:p w14:paraId="7203155B" w14:textId="77777777" w:rsidR="00D01F25" w:rsidRPr="00955F14" w:rsidRDefault="00D01F25" w:rsidP="00D01F25">
      <w:pPr>
        <w:spacing w:before="240"/>
        <w:jc w:val="both"/>
        <w:rPr>
          <w:i/>
          <w:snapToGrid w:val="0"/>
        </w:rPr>
      </w:pPr>
      <w:r w:rsidRPr="00955F14">
        <w:rPr>
          <w:i/>
          <w:snapToGrid w:val="0"/>
        </w:rPr>
        <w:t>Podiel jednotlivých teritórií na podpore exportu bankovými a poisťovacími produktmi EXIMBANKY SR v roku 2016</w:t>
      </w:r>
    </w:p>
    <w:p w14:paraId="7B57472E" w14:textId="77777777" w:rsidR="00D01F25" w:rsidRPr="00955F14" w:rsidRDefault="00D01F25" w:rsidP="00D01F25">
      <w:pPr>
        <w:spacing w:before="240"/>
        <w:jc w:val="both"/>
        <w:rPr>
          <w:i/>
          <w:snapToGrid w:val="0"/>
        </w:rPr>
      </w:pPr>
      <w:r w:rsidRPr="00955F14">
        <w:rPr>
          <w:noProof/>
        </w:rPr>
        <w:drawing>
          <wp:inline distT="0" distB="0" distL="0" distR="0" wp14:anchorId="1D0EC0BE" wp14:editId="5A04FEDB">
            <wp:extent cx="2934032" cy="1828800"/>
            <wp:effectExtent l="0" t="0" r="19050" b="19050"/>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955F14">
        <w:rPr>
          <w:noProof/>
        </w:rPr>
        <w:drawing>
          <wp:inline distT="0" distB="0" distL="0" distR="0" wp14:anchorId="0CB1FC7E" wp14:editId="23301497">
            <wp:extent cx="2782956" cy="1828800"/>
            <wp:effectExtent l="0" t="0" r="17780" b="19050"/>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E52AAF7" w14:textId="77777777" w:rsidR="00D01F25" w:rsidRPr="00955F14" w:rsidRDefault="00D01F25" w:rsidP="00D01F25">
      <w:pPr>
        <w:spacing w:before="240"/>
        <w:jc w:val="both"/>
        <w:rPr>
          <w:i/>
          <w:snapToGrid w:val="0"/>
        </w:rPr>
      </w:pPr>
      <w:r w:rsidRPr="00955F14">
        <w:rPr>
          <w:i/>
          <w:snapToGrid w:val="0"/>
        </w:rPr>
        <w:t>Podiel jednotlivých teritórií na podpore exportu bankovými resp. poisťovacími produktmi EXIMBANKY SR</w:t>
      </w:r>
    </w:p>
    <w:p w14:paraId="2475BE4B" w14:textId="77777777" w:rsidR="00D01F25" w:rsidRPr="00955F14" w:rsidRDefault="00D01F25" w:rsidP="00D01F25">
      <w:pPr>
        <w:jc w:val="both"/>
        <w:rPr>
          <w:i/>
          <w:snapToGrid w:val="0"/>
        </w:rPr>
      </w:pPr>
      <w:r w:rsidRPr="00955F14">
        <w:rPr>
          <w:i/>
          <w:snapToGrid w:val="0"/>
        </w:rPr>
        <w:t xml:space="preserve"> v 1. polroku  2017</w:t>
      </w:r>
    </w:p>
    <w:p w14:paraId="541200B0" w14:textId="77777777" w:rsidR="00D01F25" w:rsidRPr="00955F14" w:rsidRDefault="00D01F25" w:rsidP="00D01F25">
      <w:pPr>
        <w:jc w:val="both"/>
        <w:rPr>
          <w:i/>
          <w:snapToGrid w:val="0"/>
        </w:rPr>
      </w:pPr>
    </w:p>
    <w:p w14:paraId="51B137AE" w14:textId="77777777" w:rsidR="00D01F25" w:rsidRPr="00955F14" w:rsidRDefault="00D01F25" w:rsidP="00D01F25">
      <w:pPr>
        <w:jc w:val="both"/>
        <w:rPr>
          <w:i/>
          <w:snapToGrid w:val="0"/>
        </w:rPr>
      </w:pPr>
      <w:r w:rsidRPr="00955F14">
        <w:rPr>
          <w:noProof/>
        </w:rPr>
        <w:drawing>
          <wp:inline distT="0" distB="0" distL="0" distR="0" wp14:anchorId="06929BC8" wp14:editId="416F009A">
            <wp:extent cx="2934032" cy="2115047"/>
            <wp:effectExtent l="0" t="0" r="19050" b="19050"/>
            <wp:docPr id="1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955F14">
        <w:rPr>
          <w:noProof/>
        </w:rPr>
        <w:drawing>
          <wp:inline distT="0" distB="0" distL="0" distR="0" wp14:anchorId="5A76EF95" wp14:editId="1FD20697">
            <wp:extent cx="2782956" cy="2115047"/>
            <wp:effectExtent l="0" t="0" r="17780" b="19050"/>
            <wp:docPr id="19" name="Graf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6B1DC97" w14:textId="77777777" w:rsidR="00D01F25" w:rsidRPr="00955F14" w:rsidRDefault="00D01F25" w:rsidP="00D01F25">
      <w:pPr>
        <w:jc w:val="both"/>
        <w:rPr>
          <w:i/>
          <w:snapToGrid w:val="0"/>
        </w:rPr>
      </w:pPr>
    </w:p>
    <w:p w14:paraId="4068402F" w14:textId="77777777" w:rsidR="00D01F25" w:rsidRPr="00955F14" w:rsidRDefault="00D01F25" w:rsidP="00D01F25">
      <w:pPr>
        <w:jc w:val="both"/>
        <w:rPr>
          <w:i/>
          <w:snapToGrid w:val="0"/>
        </w:rPr>
      </w:pPr>
    </w:p>
    <w:p w14:paraId="7A730ECE" w14:textId="77777777" w:rsidR="00D01F25" w:rsidRPr="00955F14" w:rsidRDefault="00D01F25" w:rsidP="00D01F25">
      <w:pPr>
        <w:jc w:val="both"/>
        <w:rPr>
          <w:snapToGrid w:val="0"/>
        </w:rPr>
      </w:pPr>
      <w:r w:rsidRPr="00955F14">
        <w:rPr>
          <w:snapToGrid w:val="0"/>
        </w:rPr>
        <w:t>Podpora exportu EXIMBANKOU SR približne kopírovala teritoriálnu štruktúru slovenského vývozu, pričom snahou je, aj v súlade so stratégiou EXIMBANKY SR, podporovať intenzifikáciu exportu na nové teritóriá.</w:t>
      </w:r>
    </w:p>
    <w:p w14:paraId="2B0BFCD5" w14:textId="77777777" w:rsidR="00D01F25" w:rsidRPr="00955F14" w:rsidRDefault="00D01F25" w:rsidP="00D01F25">
      <w:pPr>
        <w:pStyle w:val="Zarkazkladnhotextu"/>
        <w:spacing w:after="0"/>
        <w:ind w:left="0"/>
        <w:jc w:val="both"/>
        <w:rPr>
          <w:snapToGrid w:val="0"/>
        </w:rPr>
      </w:pPr>
    </w:p>
    <w:p w14:paraId="05EF44EF" w14:textId="77777777" w:rsidR="00D01F25" w:rsidRPr="00955F14" w:rsidRDefault="00D01F25" w:rsidP="00D01F25">
      <w:pPr>
        <w:pStyle w:val="Zarkazkladnhotextu"/>
        <w:spacing w:after="0"/>
        <w:ind w:left="0"/>
        <w:jc w:val="both"/>
        <w:rPr>
          <w:b/>
          <w:snapToGrid w:val="0"/>
        </w:rPr>
      </w:pPr>
      <w:r w:rsidRPr="00955F14">
        <w:rPr>
          <w:b/>
          <w:snapToGrid w:val="0"/>
        </w:rPr>
        <w:t>Bankové produkty</w:t>
      </w:r>
    </w:p>
    <w:p w14:paraId="4734383A" w14:textId="77777777" w:rsidR="00D01F25" w:rsidRPr="00955F14" w:rsidRDefault="00D01F25" w:rsidP="00D01F25">
      <w:pPr>
        <w:pStyle w:val="Default"/>
        <w:jc w:val="both"/>
        <w:rPr>
          <w:rFonts w:ascii="Times New Roman" w:hAnsi="Times New Roman" w:cs="Times New Roman"/>
          <w:snapToGrid w:val="0"/>
        </w:rPr>
      </w:pPr>
      <w:r w:rsidRPr="00955F14">
        <w:rPr>
          <w:rFonts w:ascii="Times New Roman" w:eastAsia="Times New Roman" w:hAnsi="Times New Roman" w:cs="Times New Roman"/>
          <w:snapToGrid w:val="0"/>
          <w:color w:val="auto"/>
          <w:lang w:eastAsia="sk-SK"/>
        </w:rPr>
        <w:t xml:space="preserve">Najvýznamnejšími exportnými partnermi klientov využívajúcich bankové produkty zostali aj v roku 2016 importéri z krajín V4, Rakúska a Nemecka, pričom sú už niekoľko rokov takmer </w:t>
      </w:r>
      <w:r w:rsidRPr="00955F14">
        <w:rPr>
          <w:rFonts w:ascii="Times New Roman" w:eastAsia="Times New Roman" w:hAnsi="Times New Roman" w:cs="Times New Roman"/>
          <w:snapToGrid w:val="0"/>
          <w:color w:val="auto"/>
          <w:lang w:eastAsia="sk-SK"/>
        </w:rPr>
        <w:lastRenderedPageBreak/>
        <w:t xml:space="preserve">bezo zmeny poradia. </w:t>
      </w:r>
      <w:r w:rsidRPr="00955F14">
        <w:rPr>
          <w:rFonts w:ascii="Times New Roman" w:hAnsi="Times New Roman" w:cs="Times New Roman"/>
          <w:snapToGrid w:val="0"/>
        </w:rPr>
        <w:t>V porovnaní s rokom 2015 došlo k nárastu podpory exportu na teritóriá mimo Európskej únie, významnejšie nárasty exportu pripadli na krajiny, ako sú Ukrajina, Nórsko, Čína, India, Spojené arabské emiráty a Vietnam.</w:t>
      </w:r>
    </w:p>
    <w:p w14:paraId="395DD3C6" w14:textId="77777777" w:rsidR="00D01F25" w:rsidRPr="00955F14" w:rsidRDefault="00D01F25" w:rsidP="00D01F25">
      <w:pPr>
        <w:jc w:val="both"/>
        <w:rPr>
          <w:snapToGrid w:val="0"/>
        </w:rPr>
      </w:pPr>
    </w:p>
    <w:p w14:paraId="5F923070" w14:textId="77777777" w:rsidR="00D01F25" w:rsidRPr="00955F14" w:rsidRDefault="00D01F25" w:rsidP="00D01F25">
      <w:pPr>
        <w:pStyle w:val="Zarkazkladnhotextu"/>
        <w:spacing w:after="0"/>
        <w:ind w:left="0"/>
        <w:jc w:val="both"/>
        <w:rPr>
          <w:b/>
          <w:snapToGrid w:val="0"/>
        </w:rPr>
      </w:pPr>
      <w:r w:rsidRPr="00955F14">
        <w:rPr>
          <w:b/>
          <w:snapToGrid w:val="0"/>
        </w:rPr>
        <w:t>Poistné produkty</w:t>
      </w:r>
    </w:p>
    <w:p w14:paraId="06592CE8" w14:textId="77777777" w:rsidR="00D01F25" w:rsidRPr="00955F14" w:rsidRDefault="00D01F25" w:rsidP="00D01F25">
      <w:pPr>
        <w:jc w:val="both"/>
        <w:rPr>
          <w:snapToGrid w:val="0"/>
        </w:rPr>
      </w:pPr>
      <w:r w:rsidRPr="00955F14">
        <w:rPr>
          <w:snapToGrid w:val="0"/>
        </w:rPr>
        <w:t xml:space="preserve">Jedinečnú formu štátnej podpory exportu predstavuje poistenie neobchodovateľných rizík, ktoré pomáha eliminovať komerčné a politické riziká, a zároveň dopĺňa služby komerčných bánk v oblasti obchodného a projektového financovania. Vďaka podpore EXIMBANKY SR smeruje export slovenských podnikov aj do krajín s vysokou mierou rizika, ktorú by inak nemohli podstúpiť. EXIMBANKA SR dlhodobo úzko spolupracuje pri podpore vývozu s viacerými zahraničnými exportno-úverovými agentúrami, významnou formou spolupráce sú najmä </w:t>
      </w:r>
      <w:proofErr w:type="spellStart"/>
      <w:r w:rsidRPr="00955F14">
        <w:rPr>
          <w:snapToGrid w:val="0"/>
        </w:rPr>
        <w:t>zaisťovateľské</w:t>
      </w:r>
      <w:proofErr w:type="spellEnd"/>
      <w:r w:rsidRPr="00955F14">
        <w:rPr>
          <w:snapToGrid w:val="0"/>
        </w:rPr>
        <w:t xml:space="preserve"> zmluvy pre oblasť strednodobých a dlhodobých projektov, pomocou ktorých je umožnený spoločný prienik exportérov z rôznych krajín na tretie trhy. V teritoriálnych preferenciách klientov EXIMBANKY SR v oblasti poistenia neobchodovateľných rizík tradične dlhodobo dominuje región Spoločenstva nezávislých štátov, ako aj krajiny Balkánu a teritóriá, kde majú slovenskí exportéri historicky silné obchodné väzby. Výsledkom je dlhotrvajúca pomerne vyrovnaná teritoriálna štruktúra angažovanosti, k čomu prispieva aj dlhodobý charakter obchodných prípadov a skutočnosť, že slovenskí exportéri využívajú podporu EXIMBANKY SR predovšetkým pri vývoze svojej produkcie do teritórií s vyššou mierou rizika a nedostatkom dostupných zdrojov financovania.</w:t>
      </w:r>
    </w:p>
    <w:p w14:paraId="261C6932" w14:textId="77777777" w:rsidR="00D01F25" w:rsidRPr="00955F14" w:rsidRDefault="00D01F25" w:rsidP="00D01F25">
      <w:pPr>
        <w:jc w:val="both"/>
        <w:rPr>
          <w:snapToGrid w:val="0"/>
        </w:rPr>
      </w:pPr>
      <w:r w:rsidRPr="00955F14">
        <w:rPr>
          <w:snapToGrid w:val="0"/>
        </w:rPr>
        <w:t>Počas roka 2016 boli iniciované viaceré aktivity smerujúce k preniknutiu pôsobenia EXIMBANKY SR, ako aj slovenských exportérov, na nové teritóriá. Tieto aktivity odrážali zvýšený záujem exportérov o dané teritóriá, a to najmä o africké krajiny a Irán.</w:t>
      </w:r>
    </w:p>
    <w:p w14:paraId="2AFC5D63" w14:textId="77777777" w:rsidR="00D01F25" w:rsidRPr="00955F14" w:rsidRDefault="00D01F25" w:rsidP="00D01F25">
      <w:pPr>
        <w:jc w:val="both"/>
        <w:rPr>
          <w:snapToGrid w:val="0"/>
        </w:rPr>
      </w:pPr>
    </w:p>
    <w:p w14:paraId="2E97579D" w14:textId="60BCF9D6" w:rsidR="00D01F25" w:rsidRPr="00955F14" w:rsidRDefault="00D01F25" w:rsidP="00D01F25">
      <w:pPr>
        <w:jc w:val="both"/>
        <w:rPr>
          <w:snapToGrid w:val="0"/>
        </w:rPr>
      </w:pPr>
      <w:r w:rsidRPr="00955F14">
        <w:rPr>
          <w:snapToGrid w:val="0"/>
        </w:rPr>
        <w:t xml:space="preserve">V roku 2016 pokračoval trend poisťovania krátkodobých rizík do pomerne širokej škály teritórií. Poistením krátkodobých dodávateľských úverov bol v danom roku podporený export do 53 krajín sveta. EXIMBANKA SR prostredníctvom poistenia podporovala export svojich klientov tradične aj do krajín Južnej a Strednej Ameriky (napr. Argentína, Brazília) a Ázie (India, Japonsko, Kazachstan). Zároveň je možné konštatovať, že v sledovanom období bol zaznamenaný pokles záujmu o balkánske krajiny (Bosna a Hercegovina, Srbsko, Čierna Hora, Moldavsko). Mierne poklesol záujem aj o  Indiu či Libanon. Najvýraznejší prepad bol zaznamenaný v Turecku (spôsobené najmä geopolitickou situáciou v danom regióne) </w:t>
      </w:r>
      <w:r w:rsidR="0006283F">
        <w:rPr>
          <w:snapToGrid w:val="0"/>
        </w:rPr>
        <w:br/>
      </w:r>
      <w:r w:rsidRPr="00955F14">
        <w:rPr>
          <w:snapToGrid w:val="0"/>
        </w:rPr>
        <w:t>a v Číne. Naopak, nárast záujmu najmä v druhej polovici roka bol zaznamenaný na teritórium Ruskej federácie a najvýraznejší na teritórium Ukrajina, Grécko, či Spojené arabské emiráty</w:t>
      </w:r>
    </w:p>
    <w:p w14:paraId="7F08E1CC" w14:textId="77777777" w:rsidR="00D01F25" w:rsidRPr="00955F14" w:rsidRDefault="00D01F25" w:rsidP="00D01F25">
      <w:pPr>
        <w:jc w:val="both"/>
        <w:rPr>
          <w:snapToGrid w:val="0"/>
        </w:rPr>
      </w:pPr>
    </w:p>
    <w:p w14:paraId="12CB3F0E" w14:textId="77777777" w:rsidR="00D01F25" w:rsidRPr="00955F14" w:rsidRDefault="00D01F25" w:rsidP="00D01F25">
      <w:pPr>
        <w:jc w:val="both"/>
        <w:rPr>
          <w:snapToGrid w:val="0"/>
        </w:rPr>
      </w:pPr>
    </w:p>
    <w:p w14:paraId="1A3EBDCD" w14:textId="77777777" w:rsidR="00D01F25" w:rsidRPr="00955F14" w:rsidRDefault="00D01F25" w:rsidP="00D01F25">
      <w:pPr>
        <w:jc w:val="both"/>
        <w:rPr>
          <w:b/>
          <w:bCs/>
          <w:snapToGrid w:val="0"/>
        </w:rPr>
      </w:pPr>
      <w:bookmarkStart w:id="37" w:name="_Toc418586864"/>
      <w:bookmarkStart w:id="38" w:name="_Toc421797926"/>
      <w:r w:rsidRPr="00955F14">
        <w:rPr>
          <w:b/>
          <w:bCs/>
          <w:snapToGrid w:val="0"/>
        </w:rPr>
        <w:t>Komoditná štruktúra exportu podporeného EXIMBANKOU SR</w:t>
      </w:r>
      <w:bookmarkEnd w:id="37"/>
      <w:bookmarkEnd w:id="38"/>
    </w:p>
    <w:p w14:paraId="74042069" w14:textId="77777777" w:rsidR="00D01F25" w:rsidRPr="00955F14" w:rsidRDefault="00D01F25" w:rsidP="00D01F25">
      <w:pPr>
        <w:jc w:val="both"/>
        <w:rPr>
          <w:snapToGrid w:val="0"/>
        </w:rPr>
      </w:pPr>
    </w:p>
    <w:p w14:paraId="5D5C4C29" w14:textId="77777777" w:rsidR="00D01F25" w:rsidRPr="00955F14" w:rsidRDefault="00D01F25" w:rsidP="00D01F25">
      <w:pPr>
        <w:pStyle w:val="Zarkazkladnhotextu"/>
        <w:spacing w:after="0"/>
        <w:ind w:left="0"/>
        <w:jc w:val="both"/>
        <w:rPr>
          <w:b/>
          <w:snapToGrid w:val="0"/>
        </w:rPr>
      </w:pPr>
      <w:r w:rsidRPr="00955F14">
        <w:rPr>
          <w:b/>
          <w:snapToGrid w:val="0"/>
        </w:rPr>
        <w:t>Bankové produkty</w:t>
      </w:r>
    </w:p>
    <w:p w14:paraId="38E2B004" w14:textId="77777777" w:rsidR="00D01F25" w:rsidRPr="00955F14" w:rsidRDefault="00D01F25" w:rsidP="00D01F25">
      <w:pPr>
        <w:widowControl w:val="0"/>
        <w:jc w:val="both"/>
        <w:rPr>
          <w:b/>
          <w:snapToGrid w:val="0"/>
        </w:rPr>
      </w:pPr>
      <w:r w:rsidRPr="00955F14">
        <w:rPr>
          <w:snapToGrid w:val="0"/>
        </w:rPr>
        <w:t xml:space="preserve">Z pohľadu vykázanej podpory exportu bankovými činnosťami EXIMBANKY SR bol aj v roku 2016 dominantným vývoz nerastných palív a mazív, ďalej priemyselné výrobky, chemikálie a trhové výrobky. </w:t>
      </w:r>
    </w:p>
    <w:p w14:paraId="6B874B3D" w14:textId="77777777" w:rsidR="00D01F25" w:rsidRPr="00955F14" w:rsidRDefault="00D01F25" w:rsidP="00D01F25">
      <w:pPr>
        <w:pStyle w:val="Zarkazkladnhotextu"/>
        <w:spacing w:after="0"/>
        <w:ind w:left="0"/>
        <w:jc w:val="both"/>
        <w:rPr>
          <w:b/>
          <w:snapToGrid w:val="0"/>
        </w:rPr>
      </w:pPr>
    </w:p>
    <w:p w14:paraId="405E4F6F" w14:textId="77777777" w:rsidR="00D01F25" w:rsidRPr="00955F14" w:rsidRDefault="00D01F25" w:rsidP="00D01F25">
      <w:pPr>
        <w:pStyle w:val="Zarkazkladnhotextu"/>
        <w:spacing w:after="0"/>
        <w:ind w:left="0"/>
        <w:jc w:val="both"/>
        <w:rPr>
          <w:b/>
          <w:snapToGrid w:val="0"/>
        </w:rPr>
      </w:pPr>
      <w:r w:rsidRPr="00955F14">
        <w:rPr>
          <w:b/>
          <w:snapToGrid w:val="0"/>
        </w:rPr>
        <w:t>Poistné produkty</w:t>
      </w:r>
    </w:p>
    <w:p w14:paraId="7D1A1AEE" w14:textId="77777777" w:rsidR="00D01F25" w:rsidRPr="00955F14" w:rsidRDefault="00D01F25" w:rsidP="00D01F25">
      <w:pPr>
        <w:jc w:val="both"/>
        <w:rPr>
          <w:snapToGrid w:val="0"/>
        </w:rPr>
      </w:pPr>
      <w:r w:rsidRPr="00955F14">
        <w:rPr>
          <w:snapToGrid w:val="0"/>
        </w:rPr>
        <w:t>V segmente poistenia neobchodovateľných rizík bol podporený predovšetkým vývoz strojov a zariadení pre energetický priemysel, dodávky technológií a materiálov pre strojársky priemysel, ako aj výstavba obnoviteľných zdrojov energie.</w:t>
      </w:r>
    </w:p>
    <w:p w14:paraId="6D8812D8" w14:textId="77777777" w:rsidR="00D01F25" w:rsidRPr="00955F14" w:rsidRDefault="00D01F25" w:rsidP="00D01F25">
      <w:pPr>
        <w:jc w:val="both"/>
        <w:rPr>
          <w:snapToGrid w:val="0"/>
        </w:rPr>
      </w:pPr>
    </w:p>
    <w:p w14:paraId="1847E860" w14:textId="77777777" w:rsidR="00D01F25" w:rsidRPr="00955F14" w:rsidRDefault="00D01F25" w:rsidP="00D01F25">
      <w:pPr>
        <w:jc w:val="both"/>
        <w:rPr>
          <w:snapToGrid w:val="0"/>
        </w:rPr>
      </w:pPr>
    </w:p>
    <w:p w14:paraId="19AA60C0" w14:textId="77777777" w:rsidR="00D01F25" w:rsidRPr="00955F14" w:rsidRDefault="00D01F25" w:rsidP="00D01F25">
      <w:pPr>
        <w:jc w:val="both"/>
        <w:rPr>
          <w:snapToGrid w:val="0"/>
        </w:rPr>
      </w:pPr>
      <w:r w:rsidRPr="00955F14">
        <w:rPr>
          <w:snapToGrid w:val="0"/>
        </w:rPr>
        <w:lastRenderedPageBreak/>
        <w:t xml:space="preserve">V nasledujúcich grafoch je uvedený prehľad komoditnej štruktúry exportu podporeného EXIMBANKOU SR prostredníctvom bankových a poisťovacích produktov v roku 2016 </w:t>
      </w:r>
      <w:r w:rsidRPr="00955F14">
        <w:rPr>
          <w:snapToGrid w:val="0"/>
        </w:rPr>
        <w:br/>
        <w:t>a v 1. polroku 2017. (Metodika vykazovania podporeného exportu za jednotlivé skupiny produktov je limitovaná dostupnosťou údajov v internej evidencii EXIMBANKY SR).</w:t>
      </w:r>
    </w:p>
    <w:p w14:paraId="384E703B" w14:textId="77777777" w:rsidR="00D01F25" w:rsidRPr="00955F14" w:rsidRDefault="00D01F25" w:rsidP="00D01F25">
      <w:pPr>
        <w:spacing w:before="240"/>
        <w:jc w:val="both"/>
        <w:rPr>
          <w:i/>
          <w:snapToGrid w:val="0"/>
        </w:rPr>
      </w:pPr>
      <w:r w:rsidRPr="00955F14">
        <w:rPr>
          <w:i/>
          <w:snapToGrid w:val="0"/>
        </w:rPr>
        <w:t>Komoditná štruktúra podpory exportu bankovými produktmi a poisťovacími produktmi v roku 2016</w:t>
      </w:r>
    </w:p>
    <w:p w14:paraId="3434500A" w14:textId="77777777" w:rsidR="00D01F25" w:rsidRPr="00955F14" w:rsidRDefault="00D01F25" w:rsidP="00D01F25">
      <w:pPr>
        <w:spacing w:before="240"/>
        <w:jc w:val="both"/>
        <w:rPr>
          <w:i/>
          <w:snapToGrid w:val="0"/>
        </w:rPr>
      </w:pPr>
      <w:r w:rsidRPr="00955F14">
        <w:rPr>
          <w:noProof/>
        </w:rPr>
        <w:drawing>
          <wp:inline distT="0" distB="0" distL="0" distR="0" wp14:anchorId="57539211" wp14:editId="3C176D65">
            <wp:extent cx="2878373" cy="2115046"/>
            <wp:effectExtent l="0" t="0" r="17780" b="19050"/>
            <wp:docPr id="2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955F14">
        <w:rPr>
          <w:noProof/>
          <w:lang w:val="en-US" w:eastAsia="en-US"/>
        </w:rPr>
        <w:t xml:space="preserve"> </w:t>
      </w:r>
      <w:r w:rsidRPr="00955F14">
        <w:rPr>
          <w:noProof/>
        </w:rPr>
        <w:drawing>
          <wp:inline distT="0" distB="0" distL="0" distR="0" wp14:anchorId="69CC7FA6" wp14:editId="6549F9D7">
            <wp:extent cx="2782956" cy="2115046"/>
            <wp:effectExtent l="0" t="0" r="17780" b="1905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5EF69D8" w14:textId="77777777" w:rsidR="00D01F25" w:rsidRPr="00955F14" w:rsidRDefault="00D01F25" w:rsidP="00D01F25">
      <w:pPr>
        <w:spacing w:before="240"/>
        <w:jc w:val="both"/>
        <w:rPr>
          <w:i/>
          <w:snapToGrid w:val="0"/>
        </w:rPr>
      </w:pPr>
      <w:r w:rsidRPr="00955F14">
        <w:rPr>
          <w:i/>
          <w:snapToGrid w:val="0"/>
        </w:rPr>
        <w:t>Komoditná štruktúra podpory exportu bankovými produktmi a poisťovacími produktmi v 1. polroku 2017</w:t>
      </w:r>
    </w:p>
    <w:p w14:paraId="5CBC77FB" w14:textId="77777777" w:rsidR="00D01F25" w:rsidRPr="00955F14" w:rsidRDefault="00D01F25" w:rsidP="00D01F25">
      <w:pPr>
        <w:jc w:val="both"/>
        <w:rPr>
          <w:i/>
          <w:snapToGrid w:val="0"/>
        </w:rPr>
      </w:pPr>
    </w:p>
    <w:p w14:paraId="4553C355" w14:textId="77777777" w:rsidR="00D01F25" w:rsidRPr="00955F14" w:rsidRDefault="00D01F25" w:rsidP="00D01F25">
      <w:pPr>
        <w:jc w:val="both"/>
        <w:rPr>
          <w:i/>
          <w:snapToGrid w:val="0"/>
        </w:rPr>
      </w:pPr>
      <w:r w:rsidRPr="00955F14">
        <w:rPr>
          <w:noProof/>
        </w:rPr>
        <w:drawing>
          <wp:inline distT="0" distB="0" distL="0" distR="0" wp14:anchorId="62029494" wp14:editId="180AEC0D">
            <wp:extent cx="2767054" cy="2393343"/>
            <wp:effectExtent l="0" t="0" r="14605" b="26035"/>
            <wp:docPr id="26" name="Graf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955F14">
        <w:rPr>
          <w:noProof/>
          <w:lang w:val="en-US" w:eastAsia="en-US"/>
        </w:rPr>
        <w:t xml:space="preserve"> </w:t>
      </w:r>
      <w:r w:rsidRPr="00955F14">
        <w:rPr>
          <w:noProof/>
        </w:rPr>
        <w:drawing>
          <wp:inline distT="0" distB="0" distL="0" distR="0" wp14:anchorId="760E72FB" wp14:editId="235DF33B">
            <wp:extent cx="2759103" cy="2393343"/>
            <wp:effectExtent l="0" t="0" r="22225" b="26035"/>
            <wp:docPr id="27" name="Graf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0FD4E55" w14:textId="77777777" w:rsidR="00D01F25" w:rsidRPr="00955F14" w:rsidRDefault="00D01F25" w:rsidP="00D01F25">
      <w:pPr>
        <w:jc w:val="both"/>
        <w:rPr>
          <w:b/>
          <w:bCs/>
          <w:snapToGrid w:val="0"/>
        </w:rPr>
      </w:pPr>
    </w:p>
    <w:p w14:paraId="10B2C48F" w14:textId="77777777" w:rsidR="00D01F25" w:rsidRPr="00955F14" w:rsidRDefault="00D01F25" w:rsidP="00D01F25">
      <w:pPr>
        <w:jc w:val="both"/>
        <w:rPr>
          <w:b/>
          <w:bCs/>
          <w:snapToGrid w:val="0"/>
        </w:rPr>
      </w:pPr>
      <w:r w:rsidRPr="00955F14">
        <w:rPr>
          <w:b/>
          <w:bCs/>
          <w:snapToGrid w:val="0"/>
        </w:rPr>
        <w:t>Angažovanosť EXIMBANKY SR</w:t>
      </w:r>
    </w:p>
    <w:p w14:paraId="352B65D6" w14:textId="77777777" w:rsidR="00D01F25" w:rsidRPr="00955F14" w:rsidRDefault="00D01F25" w:rsidP="00D01F25">
      <w:pPr>
        <w:jc w:val="both"/>
        <w:rPr>
          <w:b/>
          <w:bCs/>
          <w:snapToGrid w:val="0"/>
        </w:rPr>
      </w:pPr>
    </w:p>
    <w:p w14:paraId="5CEE9772" w14:textId="77777777" w:rsidR="00D01F25" w:rsidRPr="00955F14" w:rsidRDefault="00D01F25" w:rsidP="00D01F25">
      <w:pPr>
        <w:jc w:val="both"/>
        <w:rPr>
          <w:snapToGrid w:val="0"/>
        </w:rPr>
      </w:pPr>
      <w:r w:rsidRPr="00955F14">
        <w:rPr>
          <w:snapToGrid w:val="0"/>
        </w:rPr>
        <w:t>Angažovanosť predstavuje sumu aktuálnej výšky upísaného rizika, ktoré EXIMBANKA SR znáša pri poskytovaní svojich produktov a služieb a zahŕňa majetkovú angažovanosť z poskytnutých úverov a záruk a poistnú angažovanosť z upísaného rizika pri poistení a zaistení.</w:t>
      </w:r>
    </w:p>
    <w:p w14:paraId="4834EAA9" w14:textId="77777777" w:rsidR="00D01F25" w:rsidRPr="00955F14" w:rsidRDefault="00D01F25" w:rsidP="00D01F25">
      <w:pPr>
        <w:jc w:val="both"/>
        <w:rPr>
          <w:snapToGrid w:val="0"/>
        </w:rPr>
      </w:pPr>
    </w:p>
    <w:p w14:paraId="311B2964" w14:textId="77777777" w:rsidR="00D01F25" w:rsidRPr="00955F14" w:rsidRDefault="00D01F25" w:rsidP="00D01F25">
      <w:pPr>
        <w:pStyle w:val="Zarkazkladnhotextu"/>
        <w:spacing w:after="0"/>
        <w:ind w:left="0"/>
        <w:jc w:val="both"/>
        <w:rPr>
          <w:b/>
          <w:snapToGrid w:val="0"/>
        </w:rPr>
      </w:pPr>
      <w:r w:rsidRPr="00955F14">
        <w:rPr>
          <w:b/>
          <w:snapToGrid w:val="0"/>
        </w:rPr>
        <w:t>Bankové produkty</w:t>
      </w:r>
    </w:p>
    <w:p w14:paraId="7A0FAC8E" w14:textId="77777777" w:rsidR="00D01F25" w:rsidRPr="00955F14" w:rsidRDefault="00D01F25" w:rsidP="00D01F25">
      <w:pPr>
        <w:jc w:val="both"/>
        <w:rPr>
          <w:snapToGrid w:val="0"/>
        </w:rPr>
      </w:pPr>
      <w:r w:rsidRPr="00955F14">
        <w:rPr>
          <w:snapToGrid w:val="0"/>
        </w:rPr>
        <w:t xml:space="preserve">V roku 2016 sa EXIMBANKA SR primárne zameriavala na poskytovanie priamych úverov exportérom, pričom z pohľadu štruktúry pohľadávok najväčší podiel úverov tvorili poskytnuté úvery vo forme </w:t>
      </w:r>
      <w:proofErr w:type="spellStart"/>
      <w:r w:rsidRPr="00955F14">
        <w:rPr>
          <w:snapToGrid w:val="0"/>
        </w:rPr>
        <w:t>predexportného</w:t>
      </w:r>
      <w:proofErr w:type="spellEnd"/>
      <w:r w:rsidRPr="00955F14">
        <w:rPr>
          <w:snapToGrid w:val="0"/>
        </w:rPr>
        <w:t xml:space="preserve"> financovania, financovania investícií slovenských vývozcov v zahraničí a financovania investícií do technológií. Z dôvodu rastúceho prebytku likvidity na </w:t>
      </w:r>
      <w:r w:rsidRPr="00955F14">
        <w:rPr>
          <w:snapToGrid w:val="0"/>
        </w:rPr>
        <w:lastRenderedPageBreak/>
        <w:t xml:space="preserve">finančnom trhu, ako aj v zmysle prijatej stratégie, sa poskytovanie refinančných úverov v priebehu roka 2016 postupne zastavilo. Pohľadávky z poskytnutých priamych úverov dosiahli hodnotu 160,0 mil. eur, čo je oproti vykázanému stavu k 31.12.2015 zníženie o 37, 4 mil. eur. </w:t>
      </w:r>
    </w:p>
    <w:p w14:paraId="465BAB83" w14:textId="77777777" w:rsidR="00D01F25" w:rsidRPr="00955F14" w:rsidRDefault="00D01F25" w:rsidP="00D01F25">
      <w:pPr>
        <w:jc w:val="both"/>
        <w:rPr>
          <w:snapToGrid w:val="0"/>
        </w:rPr>
      </w:pPr>
      <w:r w:rsidRPr="00955F14">
        <w:rPr>
          <w:snapToGrid w:val="0"/>
        </w:rPr>
        <w:t xml:space="preserve">Najväčší podiel na poskytnutých priamych úveroch v roku 2016 mali vývozné investičné úvery s 51,8 %, nasledované vývoznými úvermi s 43,4 % a eskontnými úvermi s podielom 4,8%. K 31.12.2016 EXIMBANKA SR evidovala vystavené bankové záruky v objeme 83,7 mil. eur, čo z hľadiska medziročného vývoja predstavovalo pokles o 72, 9 mil. eur. Pokles bol spôsobený jednak cieleným znížením angažovanosti, ako aj predčasným ukončením záruk vo vybraných obchodných prípadoch. </w:t>
      </w:r>
    </w:p>
    <w:p w14:paraId="45CF9808" w14:textId="77777777" w:rsidR="00D01F25" w:rsidRPr="00955F14" w:rsidRDefault="00D01F25" w:rsidP="00D01F25">
      <w:pPr>
        <w:jc w:val="both"/>
        <w:rPr>
          <w:snapToGrid w:val="0"/>
        </w:rPr>
      </w:pPr>
    </w:p>
    <w:p w14:paraId="480843C5" w14:textId="77777777" w:rsidR="00D01F25" w:rsidRPr="00955F14" w:rsidRDefault="00D01F25" w:rsidP="00D01F25">
      <w:pPr>
        <w:jc w:val="both"/>
        <w:rPr>
          <w:snapToGrid w:val="0"/>
        </w:rPr>
      </w:pPr>
      <w:r w:rsidRPr="00955F14">
        <w:rPr>
          <w:snapToGrid w:val="0"/>
        </w:rPr>
        <w:t xml:space="preserve">K 30.6.2017 celková majetková angažovanosť dosiahla mierne nižšiu úroveň ako ku koncu roka 2016, mierny pokles majetkovej angažovanosti nastal pri poskytovaní  priamych úveroch a mierny nárast pri poskytovaní záruk.   </w:t>
      </w:r>
    </w:p>
    <w:p w14:paraId="001CC6BE" w14:textId="77777777" w:rsidR="00D01F25" w:rsidRPr="00955F14" w:rsidRDefault="00D01F25" w:rsidP="00D01F25">
      <w:pPr>
        <w:jc w:val="both"/>
        <w:rPr>
          <w:snapToGrid w:val="0"/>
        </w:rPr>
      </w:pPr>
    </w:p>
    <w:p w14:paraId="6B012942" w14:textId="77777777" w:rsidR="00D01F25" w:rsidRPr="00955F14" w:rsidRDefault="00D01F25" w:rsidP="00D01F25">
      <w:pPr>
        <w:pStyle w:val="Zarkazkladnhotextu"/>
        <w:spacing w:after="0"/>
        <w:ind w:left="0"/>
        <w:jc w:val="both"/>
        <w:rPr>
          <w:b/>
          <w:snapToGrid w:val="0"/>
        </w:rPr>
      </w:pPr>
      <w:r w:rsidRPr="00955F14">
        <w:rPr>
          <w:b/>
          <w:snapToGrid w:val="0"/>
        </w:rPr>
        <w:t>Poistné produkty</w:t>
      </w:r>
    </w:p>
    <w:p w14:paraId="2698B8B3" w14:textId="77777777" w:rsidR="00D01F25" w:rsidRPr="00955F14" w:rsidRDefault="00D01F25" w:rsidP="00D01F25">
      <w:pPr>
        <w:jc w:val="both"/>
        <w:rPr>
          <w:snapToGrid w:val="0"/>
        </w:rPr>
      </w:pPr>
    </w:p>
    <w:p w14:paraId="4BF26625" w14:textId="4CC975DC" w:rsidR="00D01F25" w:rsidRPr="00955F14" w:rsidRDefault="00D01F25" w:rsidP="00D01F25">
      <w:pPr>
        <w:widowControl w:val="0"/>
        <w:jc w:val="both"/>
        <w:rPr>
          <w:snapToGrid w:val="0"/>
        </w:rPr>
      </w:pPr>
      <w:r w:rsidRPr="00955F14">
        <w:rPr>
          <w:snapToGrid w:val="0"/>
        </w:rPr>
        <w:t>Ku koncu roka 2016 dosiahla EXIMBANKA SR celkovú úroveň poistnej angažovanosti v sume 670,3 mil. eur, čo predstavuje v porovnaní so skutočnosťou k 31.12.2015 nárast o 120,0 mil. eur. Poistná angažovanosť EXIMBANKY SR z pohľadu poistenia neobchodovateľných rizík dosiahla k 31.12.2016 hodnotu 467,1 mil. eur, čo predstavovalo jej nárast v porovnaní s predchádzajúcim rokom o 112,0 mil. eur. Najvýraznejší nárast poistnej angažovanosti bol zaznamenaný v oblasti poistenia strednodobých a dlhodobých vývozných odberateľských úverov. Aj v oblasti poistenia obchodovateľných rizík v roku 2016 stúpla poistná angažovanosť oproti predošlému roku. Nárast bol zaznamenaný najmä vďaka zvýšenej akvizičnej činnosti, nárastu záujmu o teritórium Ruskej federácie a vďaka spolupráci s komerčnými poisťovňami, kde časť rizika prevzala EXIMBANKA SR formou doplnkového limitu alebo platobných podmienok, ktoré komerčné poisťovne obvykle nevedia poskytnúť pre svojich klientov. Exportérom tak bola ponúknutá zaujímavá alternatíva kombinácie komerčného poistenia a spolupráce s EXIMBANKOU SR, vďaka čomu mohli využívať výhody lepšieho zabezpečenia, prístupu k novým platobným podmienkam, či lepšiemu financovaniu vďaka zabezpečeniu zo strany EXIMBANKY SR.</w:t>
      </w:r>
    </w:p>
    <w:p w14:paraId="2D457F58" w14:textId="77777777" w:rsidR="00D01F25" w:rsidRPr="00955F14" w:rsidRDefault="00D01F25" w:rsidP="00D01F25">
      <w:pPr>
        <w:jc w:val="both"/>
        <w:rPr>
          <w:snapToGrid w:val="0"/>
          <w:color w:val="FF0000"/>
        </w:rPr>
      </w:pPr>
    </w:p>
    <w:p w14:paraId="5E332E01" w14:textId="77777777" w:rsidR="00D01F25" w:rsidRPr="00955F14" w:rsidRDefault="00D01F25" w:rsidP="00D01F25">
      <w:pPr>
        <w:jc w:val="both"/>
        <w:rPr>
          <w:snapToGrid w:val="0"/>
        </w:rPr>
      </w:pPr>
      <w:r w:rsidRPr="00955F14">
        <w:rPr>
          <w:snapToGrid w:val="0"/>
        </w:rPr>
        <w:t>K 30.6.2017 celková poistná angažovanosť zaznamenala mierny nárast v porovnaní  k </w:t>
      </w:r>
      <w:proofErr w:type="spellStart"/>
      <w:r w:rsidRPr="00955F14">
        <w:rPr>
          <w:snapToGrid w:val="0"/>
        </w:rPr>
        <w:t>ultimu</w:t>
      </w:r>
      <w:proofErr w:type="spellEnd"/>
      <w:r w:rsidRPr="00955F14">
        <w:rPr>
          <w:snapToGrid w:val="0"/>
        </w:rPr>
        <w:t xml:space="preserve"> roka 2016, nárast bol zaznamenaný v oblasti poistenia obchodovateľného rizika a mierny pokles v oblasti neobchodovateľného rizika.  </w:t>
      </w:r>
    </w:p>
    <w:p w14:paraId="71EF2CA6" w14:textId="77777777" w:rsidR="00D01F25" w:rsidRPr="00955F14" w:rsidRDefault="00D01F25" w:rsidP="00D01F25">
      <w:pPr>
        <w:jc w:val="both"/>
        <w:rPr>
          <w:b/>
          <w:snapToGrid w:val="0"/>
        </w:rPr>
      </w:pPr>
    </w:p>
    <w:p w14:paraId="7F90D6F5" w14:textId="77777777" w:rsidR="00D01F25" w:rsidRPr="00955F14" w:rsidRDefault="00D01F25" w:rsidP="00D01F25">
      <w:pPr>
        <w:jc w:val="both"/>
        <w:rPr>
          <w:i/>
          <w:snapToGrid w:val="0"/>
        </w:rPr>
      </w:pPr>
      <w:r w:rsidRPr="00955F14">
        <w:rPr>
          <w:i/>
          <w:snapToGrid w:val="0"/>
        </w:rPr>
        <w:t>Vývoj majetkovej angažovanosti a angažovanosti v oblasti poistenia a zaistenia (v mil. eur)</w:t>
      </w:r>
    </w:p>
    <w:tbl>
      <w:tblPr>
        <w:tblW w:w="4942" w:type="pct"/>
        <w:tblInd w:w="108" w:type="dxa"/>
        <w:tblLook w:val="04A0" w:firstRow="1" w:lastRow="0" w:firstColumn="1" w:lastColumn="0" w:noHBand="0" w:noVBand="1"/>
      </w:tblPr>
      <w:tblGrid>
        <w:gridCol w:w="3489"/>
        <w:gridCol w:w="1897"/>
        <w:gridCol w:w="1897"/>
        <w:gridCol w:w="1897"/>
      </w:tblGrid>
      <w:tr w:rsidR="00D01F25" w:rsidRPr="00955F14" w14:paraId="4567CBBE" w14:textId="77777777" w:rsidTr="00A477BC">
        <w:trPr>
          <w:trHeight w:val="475"/>
        </w:trPr>
        <w:tc>
          <w:tcPr>
            <w:tcW w:w="1901" w:type="pct"/>
            <w:tcBorders>
              <w:top w:val="single" w:sz="4" w:space="0" w:color="auto"/>
              <w:left w:val="single" w:sz="4" w:space="0" w:color="auto"/>
              <w:bottom w:val="single" w:sz="4" w:space="0" w:color="auto"/>
              <w:right w:val="single" w:sz="4" w:space="0" w:color="auto"/>
            </w:tcBorders>
            <w:vAlign w:val="center"/>
          </w:tcPr>
          <w:p w14:paraId="7293828A" w14:textId="77777777" w:rsidR="00D01F25" w:rsidRPr="00955F14" w:rsidRDefault="00D01F25" w:rsidP="00A477BC">
            <w:pPr>
              <w:jc w:val="both"/>
              <w:rPr>
                <w:snapToGrid w:val="0"/>
              </w:rPr>
            </w:pPr>
          </w:p>
        </w:tc>
        <w:tc>
          <w:tcPr>
            <w:tcW w:w="1033" w:type="pct"/>
            <w:tcBorders>
              <w:top w:val="single" w:sz="4" w:space="0" w:color="auto"/>
              <w:left w:val="single" w:sz="4" w:space="0" w:color="auto"/>
              <w:bottom w:val="single" w:sz="4" w:space="0" w:color="auto"/>
              <w:right w:val="single" w:sz="4" w:space="0" w:color="auto"/>
            </w:tcBorders>
            <w:vAlign w:val="center"/>
            <w:hideMark/>
          </w:tcPr>
          <w:p w14:paraId="2003ECFC" w14:textId="77777777" w:rsidR="00D01F25" w:rsidRPr="00955F14" w:rsidRDefault="00D01F25" w:rsidP="00A477BC">
            <w:pPr>
              <w:jc w:val="center"/>
              <w:rPr>
                <w:snapToGrid w:val="0"/>
              </w:rPr>
            </w:pPr>
            <w:r w:rsidRPr="00955F14">
              <w:rPr>
                <w:snapToGrid w:val="0"/>
              </w:rPr>
              <w:t>31.12.2015</w:t>
            </w:r>
          </w:p>
        </w:tc>
        <w:tc>
          <w:tcPr>
            <w:tcW w:w="1033" w:type="pct"/>
            <w:tcBorders>
              <w:top w:val="single" w:sz="4" w:space="0" w:color="auto"/>
              <w:left w:val="single" w:sz="4" w:space="0" w:color="auto"/>
              <w:bottom w:val="single" w:sz="4" w:space="0" w:color="auto"/>
              <w:right w:val="single" w:sz="4" w:space="0" w:color="auto"/>
            </w:tcBorders>
            <w:vAlign w:val="center"/>
            <w:hideMark/>
          </w:tcPr>
          <w:p w14:paraId="51A734F8" w14:textId="77777777" w:rsidR="00D01F25" w:rsidRPr="00955F14" w:rsidRDefault="00D01F25" w:rsidP="00A477BC">
            <w:pPr>
              <w:jc w:val="center"/>
              <w:rPr>
                <w:snapToGrid w:val="0"/>
              </w:rPr>
            </w:pPr>
            <w:r w:rsidRPr="00955F14">
              <w:rPr>
                <w:snapToGrid w:val="0"/>
              </w:rPr>
              <w:t>31.12.2016</w:t>
            </w:r>
          </w:p>
        </w:tc>
        <w:tc>
          <w:tcPr>
            <w:tcW w:w="1033" w:type="pct"/>
            <w:tcBorders>
              <w:top w:val="single" w:sz="4" w:space="0" w:color="auto"/>
              <w:left w:val="single" w:sz="4" w:space="0" w:color="auto"/>
              <w:bottom w:val="single" w:sz="4" w:space="0" w:color="auto"/>
              <w:right w:val="single" w:sz="4" w:space="0" w:color="auto"/>
            </w:tcBorders>
            <w:vAlign w:val="center"/>
            <w:hideMark/>
          </w:tcPr>
          <w:p w14:paraId="16A7FB7E" w14:textId="77777777" w:rsidR="00D01F25" w:rsidRPr="00955F14" w:rsidRDefault="00D01F25" w:rsidP="00A477BC">
            <w:pPr>
              <w:jc w:val="center"/>
              <w:rPr>
                <w:snapToGrid w:val="0"/>
              </w:rPr>
            </w:pPr>
            <w:r w:rsidRPr="00955F14">
              <w:rPr>
                <w:snapToGrid w:val="0"/>
                <w:color w:val="000000" w:themeColor="text1"/>
              </w:rPr>
              <w:t>30.6.2017</w:t>
            </w:r>
          </w:p>
        </w:tc>
      </w:tr>
      <w:tr w:rsidR="00D01F25" w:rsidRPr="00955F14" w14:paraId="3DFDC6E6" w14:textId="77777777" w:rsidTr="00A477BC">
        <w:tc>
          <w:tcPr>
            <w:tcW w:w="1901" w:type="pct"/>
            <w:tcBorders>
              <w:top w:val="single" w:sz="4" w:space="0" w:color="auto"/>
              <w:left w:val="single" w:sz="4" w:space="0" w:color="auto"/>
              <w:bottom w:val="single" w:sz="4" w:space="0" w:color="auto"/>
              <w:right w:val="single" w:sz="4" w:space="0" w:color="auto"/>
            </w:tcBorders>
            <w:vAlign w:val="center"/>
            <w:hideMark/>
          </w:tcPr>
          <w:p w14:paraId="3A000FFD" w14:textId="77777777" w:rsidR="00D01F25" w:rsidRPr="00955F14" w:rsidRDefault="00D01F25" w:rsidP="00A477BC">
            <w:pPr>
              <w:jc w:val="both"/>
              <w:rPr>
                <w:b/>
                <w:snapToGrid w:val="0"/>
              </w:rPr>
            </w:pPr>
            <w:r w:rsidRPr="00955F14">
              <w:rPr>
                <w:b/>
                <w:snapToGrid w:val="0"/>
              </w:rPr>
              <w:t>Majetková angažovanosť</w:t>
            </w:r>
          </w:p>
        </w:tc>
        <w:tc>
          <w:tcPr>
            <w:tcW w:w="1033" w:type="pct"/>
            <w:tcBorders>
              <w:top w:val="single" w:sz="4" w:space="0" w:color="auto"/>
              <w:left w:val="single" w:sz="4" w:space="0" w:color="auto"/>
              <w:bottom w:val="single" w:sz="4" w:space="0" w:color="auto"/>
              <w:right w:val="single" w:sz="4" w:space="0" w:color="auto"/>
            </w:tcBorders>
            <w:vAlign w:val="center"/>
            <w:hideMark/>
          </w:tcPr>
          <w:p w14:paraId="2F724031" w14:textId="77777777" w:rsidR="00D01F25" w:rsidRPr="00955F14" w:rsidRDefault="00D01F25" w:rsidP="00A477BC">
            <w:pPr>
              <w:jc w:val="center"/>
              <w:rPr>
                <w:b/>
                <w:snapToGrid w:val="0"/>
              </w:rPr>
            </w:pPr>
            <w:r w:rsidRPr="00955F14">
              <w:rPr>
                <w:b/>
                <w:snapToGrid w:val="0"/>
              </w:rPr>
              <w:t>372,4</w:t>
            </w:r>
          </w:p>
        </w:tc>
        <w:tc>
          <w:tcPr>
            <w:tcW w:w="1033" w:type="pct"/>
            <w:tcBorders>
              <w:top w:val="single" w:sz="4" w:space="0" w:color="auto"/>
              <w:left w:val="single" w:sz="4" w:space="0" w:color="auto"/>
              <w:bottom w:val="single" w:sz="4" w:space="0" w:color="auto"/>
              <w:right w:val="single" w:sz="4" w:space="0" w:color="auto"/>
            </w:tcBorders>
            <w:vAlign w:val="center"/>
            <w:hideMark/>
          </w:tcPr>
          <w:p w14:paraId="4D156520" w14:textId="77777777" w:rsidR="00D01F25" w:rsidRPr="00955F14" w:rsidRDefault="00D01F25" w:rsidP="00A477BC">
            <w:pPr>
              <w:jc w:val="center"/>
              <w:rPr>
                <w:b/>
                <w:snapToGrid w:val="0"/>
              </w:rPr>
            </w:pPr>
            <w:r w:rsidRPr="00955F14">
              <w:rPr>
                <w:b/>
                <w:snapToGrid w:val="0"/>
              </w:rPr>
              <w:t>243,7</w:t>
            </w:r>
          </w:p>
        </w:tc>
        <w:tc>
          <w:tcPr>
            <w:tcW w:w="1033" w:type="pct"/>
            <w:tcBorders>
              <w:top w:val="single" w:sz="4" w:space="0" w:color="auto"/>
              <w:left w:val="single" w:sz="4" w:space="0" w:color="auto"/>
              <w:bottom w:val="single" w:sz="4" w:space="0" w:color="auto"/>
              <w:right w:val="single" w:sz="4" w:space="0" w:color="auto"/>
            </w:tcBorders>
            <w:vAlign w:val="center"/>
            <w:hideMark/>
          </w:tcPr>
          <w:p w14:paraId="48D567D9" w14:textId="77777777" w:rsidR="00D01F25" w:rsidRPr="00955F14" w:rsidRDefault="00D01F25" w:rsidP="00A477BC">
            <w:pPr>
              <w:jc w:val="center"/>
              <w:rPr>
                <w:b/>
                <w:snapToGrid w:val="0"/>
              </w:rPr>
            </w:pPr>
            <w:r w:rsidRPr="00955F14">
              <w:rPr>
                <w:b/>
                <w:snapToGrid w:val="0"/>
              </w:rPr>
              <w:t>232,4</w:t>
            </w:r>
          </w:p>
        </w:tc>
      </w:tr>
      <w:tr w:rsidR="00D01F25" w:rsidRPr="00955F14" w14:paraId="698A4DB3" w14:textId="77777777" w:rsidTr="00A477BC">
        <w:tc>
          <w:tcPr>
            <w:tcW w:w="1901" w:type="pct"/>
            <w:tcBorders>
              <w:top w:val="single" w:sz="4" w:space="0" w:color="auto"/>
              <w:left w:val="single" w:sz="4" w:space="0" w:color="auto"/>
              <w:bottom w:val="single" w:sz="4" w:space="0" w:color="auto"/>
              <w:right w:val="single" w:sz="4" w:space="0" w:color="auto"/>
            </w:tcBorders>
            <w:vAlign w:val="center"/>
            <w:hideMark/>
          </w:tcPr>
          <w:p w14:paraId="4BC441F1" w14:textId="77777777" w:rsidR="00D01F25" w:rsidRPr="00955F14" w:rsidRDefault="00D01F25" w:rsidP="00D01F25">
            <w:pPr>
              <w:numPr>
                <w:ilvl w:val="0"/>
                <w:numId w:val="2"/>
              </w:numPr>
              <w:spacing w:after="200" w:line="276" w:lineRule="auto"/>
              <w:ind w:left="284"/>
              <w:jc w:val="both"/>
              <w:rPr>
                <w:snapToGrid w:val="0"/>
                <w:lang w:val="x-none"/>
              </w:rPr>
            </w:pPr>
            <w:r w:rsidRPr="00955F14">
              <w:rPr>
                <w:snapToGrid w:val="0"/>
                <w:lang w:val="x-none"/>
              </w:rPr>
              <w:t>Refinančné úvery</w:t>
            </w:r>
          </w:p>
        </w:tc>
        <w:tc>
          <w:tcPr>
            <w:tcW w:w="1033" w:type="pct"/>
            <w:tcBorders>
              <w:top w:val="single" w:sz="4" w:space="0" w:color="auto"/>
              <w:left w:val="single" w:sz="4" w:space="0" w:color="auto"/>
              <w:bottom w:val="single" w:sz="4" w:space="0" w:color="auto"/>
              <w:right w:val="single" w:sz="4" w:space="0" w:color="auto"/>
            </w:tcBorders>
            <w:vAlign w:val="center"/>
            <w:hideMark/>
          </w:tcPr>
          <w:p w14:paraId="432292F7" w14:textId="77777777" w:rsidR="00D01F25" w:rsidRPr="00955F14" w:rsidRDefault="00D01F25" w:rsidP="00A477BC">
            <w:pPr>
              <w:jc w:val="center"/>
              <w:rPr>
                <w:snapToGrid w:val="0"/>
              </w:rPr>
            </w:pPr>
            <w:r w:rsidRPr="00955F14">
              <w:rPr>
                <w:snapToGrid w:val="0"/>
              </w:rPr>
              <w:t>18,3</w:t>
            </w:r>
          </w:p>
        </w:tc>
        <w:tc>
          <w:tcPr>
            <w:tcW w:w="1033" w:type="pct"/>
            <w:tcBorders>
              <w:top w:val="single" w:sz="4" w:space="0" w:color="auto"/>
              <w:left w:val="single" w:sz="4" w:space="0" w:color="auto"/>
              <w:bottom w:val="single" w:sz="4" w:space="0" w:color="auto"/>
              <w:right w:val="single" w:sz="4" w:space="0" w:color="auto"/>
            </w:tcBorders>
            <w:vAlign w:val="center"/>
            <w:hideMark/>
          </w:tcPr>
          <w:p w14:paraId="206CF476" w14:textId="77777777" w:rsidR="00D01F25" w:rsidRPr="00955F14" w:rsidRDefault="00D01F25" w:rsidP="00A477BC">
            <w:pPr>
              <w:jc w:val="center"/>
              <w:rPr>
                <w:snapToGrid w:val="0"/>
              </w:rPr>
            </w:pPr>
            <w:r w:rsidRPr="00955F14">
              <w:rPr>
                <w:snapToGrid w:val="0"/>
              </w:rPr>
              <w:t>0,0</w:t>
            </w:r>
          </w:p>
        </w:tc>
        <w:tc>
          <w:tcPr>
            <w:tcW w:w="1033" w:type="pct"/>
            <w:tcBorders>
              <w:top w:val="single" w:sz="4" w:space="0" w:color="auto"/>
              <w:left w:val="single" w:sz="4" w:space="0" w:color="auto"/>
              <w:bottom w:val="single" w:sz="4" w:space="0" w:color="auto"/>
              <w:right w:val="single" w:sz="4" w:space="0" w:color="auto"/>
            </w:tcBorders>
            <w:vAlign w:val="center"/>
            <w:hideMark/>
          </w:tcPr>
          <w:p w14:paraId="0EEB0778" w14:textId="77777777" w:rsidR="00D01F25" w:rsidRPr="00955F14" w:rsidRDefault="00D01F25" w:rsidP="00A477BC">
            <w:pPr>
              <w:jc w:val="center"/>
              <w:rPr>
                <w:snapToGrid w:val="0"/>
              </w:rPr>
            </w:pPr>
            <w:r w:rsidRPr="00955F14">
              <w:rPr>
                <w:snapToGrid w:val="0"/>
              </w:rPr>
              <w:t>0,0</w:t>
            </w:r>
          </w:p>
        </w:tc>
      </w:tr>
      <w:tr w:rsidR="00D01F25" w:rsidRPr="00955F14" w14:paraId="2623D30C" w14:textId="77777777" w:rsidTr="00A477BC">
        <w:tc>
          <w:tcPr>
            <w:tcW w:w="1901" w:type="pct"/>
            <w:tcBorders>
              <w:top w:val="single" w:sz="4" w:space="0" w:color="auto"/>
              <w:left w:val="single" w:sz="4" w:space="0" w:color="auto"/>
              <w:bottom w:val="single" w:sz="4" w:space="0" w:color="auto"/>
              <w:right w:val="single" w:sz="4" w:space="0" w:color="auto"/>
            </w:tcBorders>
            <w:vAlign w:val="center"/>
            <w:hideMark/>
          </w:tcPr>
          <w:p w14:paraId="79D3B453" w14:textId="77777777" w:rsidR="00D01F25" w:rsidRPr="00955F14" w:rsidRDefault="00D01F25" w:rsidP="00D01F25">
            <w:pPr>
              <w:numPr>
                <w:ilvl w:val="0"/>
                <w:numId w:val="2"/>
              </w:numPr>
              <w:spacing w:after="200" w:line="276" w:lineRule="auto"/>
              <w:ind w:left="284"/>
              <w:jc w:val="both"/>
              <w:rPr>
                <w:snapToGrid w:val="0"/>
              </w:rPr>
            </w:pPr>
            <w:r w:rsidRPr="00955F14">
              <w:rPr>
                <w:snapToGrid w:val="0"/>
              </w:rPr>
              <w:t>Priame úvery</w:t>
            </w:r>
          </w:p>
        </w:tc>
        <w:tc>
          <w:tcPr>
            <w:tcW w:w="1033" w:type="pct"/>
            <w:tcBorders>
              <w:top w:val="single" w:sz="4" w:space="0" w:color="auto"/>
              <w:left w:val="single" w:sz="4" w:space="0" w:color="auto"/>
              <w:bottom w:val="single" w:sz="4" w:space="0" w:color="auto"/>
              <w:right w:val="single" w:sz="4" w:space="0" w:color="auto"/>
            </w:tcBorders>
            <w:vAlign w:val="center"/>
            <w:hideMark/>
          </w:tcPr>
          <w:p w14:paraId="49B9CE5C" w14:textId="77777777" w:rsidR="00D01F25" w:rsidRPr="00955F14" w:rsidRDefault="00D01F25" w:rsidP="00A477BC">
            <w:pPr>
              <w:jc w:val="center"/>
              <w:rPr>
                <w:snapToGrid w:val="0"/>
              </w:rPr>
            </w:pPr>
            <w:r w:rsidRPr="00955F14">
              <w:rPr>
                <w:snapToGrid w:val="0"/>
              </w:rPr>
              <w:t>197,4</w:t>
            </w:r>
          </w:p>
        </w:tc>
        <w:tc>
          <w:tcPr>
            <w:tcW w:w="1033" w:type="pct"/>
            <w:tcBorders>
              <w:top w:val="single" w:sz="4" w:space="0" w:color="auto"/>
              <w:left w:val="single" w:sz="4" w:space="0" w:color="auto"/>
              <w:bottom w:val="single" w:sz="4" w:space="0" w:color="auto"/>
              <w:right w:val="single" w:sz="4" w:space="0" w:color="auto"/>
            </w:tcBorders>
            <w:vAlign w:val="center"/>
            <w:hideMark/>
          </w:tcPr>
          <w:p w14:paraId="782E8326" w14:textId="77777777" w:rsidR="00D01F25" w:rsidRPr="00955F14" w:rsidRDefault="00D01F25" w:rsidP="00A477BC">
            <w:pPr>
              <w:jc w:val="center"/>
              <w:rPr>
                <w:snapToGrid w:val="0"/>
              </w:rPr>
            </w:pPr>
            <w:r w:rsidRPr="00955F14">
              <w:rPr>
                <w:snapToGrid w:val="0"/>
              </w:rPr>
              <w:t>160,0</w:t>
            </w:r>
          </w:p>
        </w:tc>
        <w:tc>
          <w:tcPr>
            <w:tcW w:w="1033" w:type="pct"/>
            <w:tcBorders>
              <w:top w:val="single" w:sz="4" w:space="0" w:color="auto"/>
              <w:left w:val="single" w:sz="4" w:space="0" w:color="auto"/>
              <w:bottom w:val="single" w:sz="4" w:space="0" w:color="auto"/>
              <w:right w:val="single" w:sz="4" w:space="0" w:color="auto"/>
            </w:tcBorders>
            <w:vAlign w:val="center"/>
            <w:hideMark/>
          </w:tcPr>
          <w:p w14:paraId="2B6A3FF1" w14:textId="77777777" w:rsidR="00D01F25" w:rsidRPr="00955F14" w:rsidRDefault="00D01F25" w:rsidP="00A477BC">
            <w:pPr>
              <w:jc w:val="center"/>
              <w:rPr>
                <w:snapToGrid w:val="0"/>
              </w:rPr>
            </w:pPr>
            <w:r w:rsidRPr="00955F14">
              <w:rPr>
                <w:snapToGrid w:val="0"/>
              </w:rPr>
              <w:t>140,6</w:t>
            </w:r>
          </w:p>
        </w:tc>
      </w:tr>
      <w:tr w:rsidR="00D01F25" w:rsidRPr="00955F14" w14:paraId="1DC0F6C1" w14:textId="77777777" w:rsidTr="00A477BC">
        <w:tc>
          <w:tcPr>
            <w:tcW w:w="1901" w:type="pct"/>
            <w:tcBorders>
              <w:top w:val="single" w:sz="4" w:space="0" w:color="auto"/>
              <w:left w:val="single" w:sz="4" w:space="0" w:color="auto"/>
              <w:bottom w:val="single" w:sz="4" w:space="0" w:color="auto"/>
              <w:right w:val="single" w:sz="4" w:space="0" w:color="auto"/>
            </w:tcBorders>
            <w:vAlign w:val="center"/>
            <w:hideMark/>
          </w:tcPr>
          <w:p w14:paraId="47644CAC" w14:textId="77777777" w:rsidR="00D01F25" w:rsidRPr="00955F14" w:rsidRDefault="00D01F25" w:rsidP="00D01F25">
            <w:pPr>
              <w:numPr>
                <w:ilvl w:val="0"/>
                <w:numId w:val="2"/>
              </w:numPr>
              <w:spacing w:after="200" w:line="276" w:lineRule="auto"/>
              <w:ind w:left="284"/>
              <w:jc w:val="both"/>
              <w:rPr>
                <w:snapToGrid w:val="0"/>
              </w:rPr>
            </w:pPr>
            <w:r w:rsidRPr="00955F14">
              <w:rPr>
                <w:snapToGrid w:val="0"/>
              </w:rPr>
              <w:t>Záruky</w:t>
            </w:r>
          </w:p>
        </w:tc>
        <w:tc>
          <w:tcPr>
            <w:tcW w:w="1033" w:type="pct"/>
            <w:tcBorders>
              <w:top w:val="single" w:sz="4" w:space="0" w:color="auto"/>
              <w:left w:val="single" w:sz="4" w:space="0" w:color="auto"/>
              <w:bottom w:val="single" w:sz="4" w:space="0" w:color="auto"/>
              <w:right w:val="single" w:sz="4" w:space="0" w:color="auto"/>
            </w:tcBorders>
            <w:vAlign w:val="center"/>
            <w:hideMark/>
          </w:tcPr>
          <w:p w14:paraId="6DDE501A" w14:textId="77777777" w:rsidR="00D01F25" w:rsidRPr="00955F14" w:rsidRDefault="00D01F25" w:rsidP="00A477BC">
            <w:pPr>
              <w:jc w:val="center"/>
              <w:rPr>
                <w:snapToGrid w:val="0"/>
              </w:rPr>
            </w:pPr>
            <w:r w:rsidRPr="00955F14">
              <w:rPr>
                <w:snapToGrid w:val="0"/>
              </w:rPr>
              <w:t>156,7</w:t>
            </w:r>
          </w:p>
        </w:tc>
        <w:tc>
          <w:tcPr>
            <w:tcW w:w="1033" w:type="pct"/>
            <w:tcBorders>
              <w:top w:val="single" w:sz="4" w:space="0" w:color="auto"/>
              <w:left w:val="single" w:sz="4" w:space="0" w:color="auto"/>
              <w:bottom w:val="single" w:sz="4" w:space="0" w:color="auto"/>
              <w:right w:val="single" w:sz="4" w:space="0" w:color="auto"/>
            </w:tcBorders>
            <w:vAlign w:val="center"/>
            <w:hideMark/>
          </w:tcPr>
          <w:p w14:paraId="04B3EBB0" w14:textId="77777777" w:rsidR="00D01F25" w:rsidRPr="00955F14" w:rsidRDefault="00D01F25" w:rsidP="00A477BC">
            <w:pPr>
              <w:jc w:val="center"/>
              <w:rPr>
                <w:snapToGrid w:val="0"/>
              </w:rPr>
            </w:pPr>
            <w:r w:rsidRPr="00955F14">
              <w:rPr>
                <w:snapToGrid w:val="0"/>
              </w:rPr>
              <w:t>83,7</w:t>
            </w:r>
          </w:p>
        </w:tc>
        <w:tc>
          <w:tcPr>
            <w:tcW w:w="1033" w:type="pct"/>
            <w:tcBorders>
              <w:top w:val="single" w:sz="4" w:space="0" w:color="auto"/>
              <w:left w:val="single" w:sz="4" w:space="0" w:color="auto"/>
              <w:bottom w:val="single" w:sz="4" w:space="0" w:color="auto"/>
              <w:right w:val="single" w:sz="4" w:space="0" w:color="auto"/>
            </w:tcBorders>
            <w:vAlign w:val="center"/>
            <w:hideMark/>
          </w:tcPr>
          <w:p w14:paraId="0565642E" w14:textId="77777777" w:rsidR="00D01F25" w:rsidRPr="00955F14" w:rsidRDefault="00D01F25" w:rsidP="00A477BC">
            <w:pPr>
              <w:jc w:val="center"/>
              <w:rPr>
                <w:snapToGrid w:val="0"/>
              </w:rPr>
            </w:pPr>
            <w:r w:rsidRPr="00955F14">
              <w:rPr>
                <w:snapToGrid w:val="0"/>
              </w:rPr>
              <w:t>91,8</w:t>
            </w:r>
          </w:p>
        </w:tc>
      </w:tr>
      <w:tr w:rsidR="00D01F25" w:rsidRPr="00955F14" w14:paraId="2F5CB740" w14:textId="77777777" w:rsidTr="00A477BC">
        <w:tc>
          <w:tcPr>
            <w:tcW w:w="1901" w:type="pct"/>
            <w:tcBorders>
              <w:top w:val="single" w:sz="4" w:space="0" w:color="auto"/>
              <w:left w:val="single" w:sz="4" w:space="0" w:color="auto"/>
              <w:bottom w:val="single" w:sz="4" w:space="0" w:color="auto"/>
              <w:right w:val="single" w:sz="4" w:space="0" w:color="auto"/>
            </w:tcBorders>
            <w:vAlign w:val="center"/>
            <w:hideMark/>
          </w:tcPr>
          <w:p w14:paraId="0EC70CE1" w14:textId="77777777" w:rsidR="00D01F25" w:rsidRPr="00955F14" w:rsidRDefault="00D01F25" w:rsidP="00A477BC">
            <w:pPr>
              <w:jc w:val="both"/>
              <w:rPr>
                <w:b/>
                <w:snapToGrid w:val="0"/>
              </w:rPr>
            </w:pPr>
            <w:r w:rsidRPr="00955F14">
              <w:rPr>
                <w:b/>
                <w:snapToGrid w:val="0"/>
              </w:rPr>
              <w:t>Poistná angažovanosť</w:t>
            </w:r>
          </w:p>
        </w:tc>
        <w:tc>
          <w:tcPr>
            <w:tcW w:w="1033" w:type="pct"/>
            <w:tcBorders>
              <w:top w:val="single" w:sz="4" w:space="0" w:color="auto"/>
              <w:left w:val="single" w:sz="4" w:space="0" w:color="auto"/>
              <w:bottom w:val="single" w:sz="4" w:space="0" w:color="auto"/>
              <w:right w:val="single" w:sz="4" w:space="0" w:color="auto"/>
            </w:tcBorders>
            <w:vAlign w:val="center"/>
            <w:hideMark/>
          </w:tcPr>
          <w:p w14:paraId="0545C126" w14:textId="77777777" w:rsidR="00D01F25" w:rsidRPr="00955F14" w:rsidRDefault="00D01F25" w:rsidP="00A477BC">
            <w:pPr>
              <w:jc w:val="center"/>
              <w:rPr>
                <w:b/>
                <w:snapToGrid w:val="0"/>
              </w:rPr>
            </w:pPr>
            <w:r w:rsidRPr="00955F14">
              <w:rPr>
                <w:b/>
                <w:snapToGrid w:val="0"/>
              </w:rPr>
              <w:t>550,3</w:t>
            </w:r>
          </w:p>
        </w:tc>
        <w:tc>
          <w:tcPr>
            <w:tcW w:w="1033" w:type="pct"/>
            <w:tcBorders>
              <w:top w:val="single" w:sz="4" w:space="0" w:color="auto"/>
              <w:left w:val="single" w:sz="4" w:space="0" w:color="auto"/>
              <w:bottom w:val="single" w:sz="4" w:space="0" w:color="auto"/>
              <w:right w:val="single" w:sz="4" w:space="0" w:color="auto"/>
            </w:tcBorders>
            <w:vAlign w:val="center"/>
            <w:hideMark/>
          </w:tcPr>
          <w:p w14:paraId="600F8520" w14:textId="77777777" w:rsidR="00D01F25" w:rsidRPr="00955F14" w:rsidRDefault="00D01F25" w:rsidP="00A477BC">
            <w:pPr>
              <w:jc w:val="center"/>
              <w:rPr>
                <w:b/>
                <w:snapToGrid w:val="0"/>
              </w:rPr>
            </w:pPr>
            <w:r w:rsidRPr="00955F14">
              <w:rPr>
                <w:b/>
                <w:snapToGrid w:val="0"/>
              </w:rPr>
              <w:t>670,3</w:t>
            </w:r>
          </w:p>
        </w:tc>
        <w:tc>
          <w:tcPr>
            <w:tcW w:w="1033" w:type="pct"/>
            <w:tcBorders>
              <w:top w:val="single" w:sz="4" w:space="0" w:color="auto"/>
              <w:left w:val="single" w:sz="4" w:space="0" w:color="auto"/>
              <w:bottom w:val="single" w:sz="4" w:space="0" w:color="auto"/>
              <w:right w:val="single" w:sz="4" w:space="0" w:color="auto"/>
            </w:tcBorders>
            <w:vAlign w:val="center"/>
            <w:hideMark/>
          </w:tcPr>
          <w:p w14:paraId="4E7310EA" w14:textId="77777777" w:rsidR="00D01F25" w:rsidRPr="00955F14" w:rsidRDefault="00D01F25" w:rsidP="00A477BC">
            <w:pPr>
              <w:jc w:val="center"/>
              <w:rPr>
                <w:b/>
                <w:snapToGrid w:val="0"/>
              </w:rPr>
            </w:pPr>
            <w:r w:rsidRPr="00955F14">
              <w:rPr>
                <w:b/>
                <w:snapToGrid w:val="0"/>
              </w:rPr>
              <w:t>673,0</w:t>
            </w:r>
          </w:p>
        </w:tc>
      </w:tr>
      <w:tr w:rsidR="00D01F25" w:rsidRPr="00955F14" w14:paraId="54BDC064" w14:textId="77777777" w:rsidTr="00A477BC">
        <w:tc>
          <w:tcPr>
            <w:tcW w:w="1901" w:type="pct"/>
            <w:tcBorders>
              <w:top w:val="single" w:sz="4" w:space="0" w:color="auto"/>
              <w:left w:val="single" w:sz="4" w:space="0" w:color="auto"/>
              <w:bottom w:val="single" w:sz="4" w:space="0" w:color="auto"/>
              <w:right w:val="single" w:sz="4" w:space="0" w:color="auto"/>
            </w:tcBorders>
            <w:vAlign w:val="center"/>
            <w:hideMark/>
          </w:tcPr>
          <w:p w14:paraId="12EEEEB7" w14:textId="77777777" w:rsidR="00D01F25" w:rsidRPr="00955F14" w:rsidRDefault="00D01F25" w:rsidP="00D01F25">
            <w:pPr>
              <w:numPr>
                <w:ilvl w:val="0"/>
                <w:numId w:val="2"/>
              </w:numPr>
              <w:spacing w:after="200" w:line="276" w:lineRule="auto"/>
              <w:ind w:left="284"/>
              <w:jc w:val="both"/>
              <w:rPr>
                <w:snapToGrid w:val="0"/>
                <w:lang w:val="x-none"/>
              </w:rPr>
            </w:pPr>
            <w:r w:rsidRPr="00955F14">
              <w:rPr>
                <w:snapToGrid w:val="0"/>
                <w:lang w:val="x-none"/>
              </w:rPr>
              <w:t>Obchodovateľné riziko</w:t>
            </w:r>
          </w:p>
        </w:tc>
        <w:tc>
          <w:tcPr>
            <w:tcW w:w="1033" w:type="pct"/>
            <w:tcBorders>
              <w:top w:val="single" w:sz="4" w:space="0" w:color="auto"/>
              <w:left w:val="single" w:sz="4" w:space="0" w:color="auto"/>
              <w:bottom w:val="single" w:sz="4" w:space="0" w:color="auto"/>
              <w:right w:val="single" w:sz="4" w:space="0" w:color="auto"/>
            </w:tcBorders>
            <w:vAlign w:val="center"/>
            <w:hideMark/>
          </w:tcPr>
          <w:p w14:paraId="73489B80" w14:textId="77777777" w:rsidR="00D01F25" w:rsidRPr="00955F14" w:rsidRDefault="00D01F25" w:rsidP="00A477BC">
            <w:pPr>
              <w:jc w:val="center"/>
              <w:rPr>
                <w:snapToGrid w:val="0"/>
              </w:rPr>
            </w:pPr>
            <w:r w:rsidRPr="00955F14">
              <w:rPr>
                <w:snapToGrid w:val="0"/>
              </w:rPr>
              <w:t>195,2</w:t>
            </w:r>
          </w:p>
        </w:tc>
        <w:tc>
          <w:tcPr>
            <w:tcW w:w="1033" w:type="pct"/>
            <w:tcBorders>
              <w:top w:val="single" w:sz="4" w:space="0" w:color="auto"/>
              <w:left w:val="single" w:sz="4" w:space="0" w:color="auto"/>
              <w:bottom w:val="single" w:sz="4" w:space="0" w:color="auto"/>
              <w:right w:val="single" w:sz="4" w:space="0" w:color="auto"/>
            </w:tcBorders>
            <w:vAlign w:val="center"/>
            <w:hideMark/>
          </w:tcPr>
          <w:p w14:paraId="4382601B" w14:textId="77777777" w:rsidR="00D01F25" w:rsidRPr="00955F14" w:rsidRDefault="00D01F25" w:rsidP="00A477BC">
            <w:pPr>
              <w:jc w:val="center"/>
              <w:rPr>
                <w:snapToGrid w:val="0"/>
              </w:rPr>
            </w:pPr>
            <w:r w:rsidRPr="00955F14">
              <w:rPr>
                <w:snapToGrid w:val="0"/>
              </w:rPr>
              <w:t>203,2</w:t>
            </w:r>
          </w:p>
        </w:tc>
        <w:tc>
          <w:tcPr>
            <w:tcW w:w="1033" w:type="pct"/>
            <w:tcBorders>
              <w:top w:val="single" w:sz="4" w:space="0" w:color="auto"/>
              <w:left w:val="single" w:sz="4" w:space="0" w:color="auto"/>
              <w:bottom w:val="single" w:sz="4" w:space="0" w:color="auto"/>
              <w:right w:val="single" w:sz="4" w:space="0" w:color="auto"/>
            </w:tcBorders>
            <w:vAlign w:val="center"/>
            <w:hideMark/>
          </w:tcPr>
          <w:p w14:paraId="7BADC725" w14:textId="77777777" w:rsidR="00D01F25" w:rsidRPr="00955F14" w:rsidRDefault="00D01F25" w:rsidP="00A477BC">
            <w:pPr>
              <w:jc w:val="center"/>
              <w:rPr>
                <w:snapToGrid w:val="0"/>
              </w:rPr>
            </w:pPr>
            <w:r w:rsidRPr="00955F14">
              <w:rPr>
                <w:snapToGrid w:val="0"/>
              </w:rPr>
              <w:t>222,4</w:t>
            </w:r>
          </w:p>
        </w:tc>
      </w:tr>
      <w:tr w:rsidR="00D01F25" w:rsidRPr="00955F14" w14:paraId="0542186C" w14:textId="77777777" w:rsidTr="00A477BC">
        <w:tc>
          <w:tcPr>
            <w:tcW w:w="1901" w:type="pct"/>
            <w:tcBorders>
              <w:top w:val="single" w:sz="4" w:space="0" w:color="auto"/>
              <w:left w:val="single" w:sz="4" w:space="0" w:color="auto"/>
              <w:bottom w:val="single" w:sz="4" w:space="0" w:color="auto"/>
              <w:right w:val="single" w:sz="4" w:space="0" w:color="auto"/>
            </w:tcBorders>
            <w:vAlign w:val="center"/>
            <w:hideMark/>
          </w:tcPr>
          <w:p w14:paraId="0E8A9007" w14:textId="77777777" w:rsidR="00D01F25" w:rsidRPr="00955F14" w:rsidRDefault="00D01F25" w:rsidP="00D01F25">
            <w:pPr>
              <w:numPr>
                <w:ilvl w:val="0"/>
                <w:numId w:val="2"/>
              </w:numPr>
              <w:spacing w:after="200" w:line="276" w:lineRule="auto"/>
              <w:ind w:left="284"/>
              <w:jc w:val="both"/>
              <w:rPr>
                <w:snapToGrid w:val="0"/>
                <w:lang w:val="x-none"/>
              </w:rPr>
            </w:pPr>
            <w:r w:rsidRPr="00955F14">
              <w:rPr>
                <w:snapToGrid w:val="0"/>
                <w:lang w:val="x-none"/>
              </w:rPr>
              <w:t>Neobchodovateľné riziko</w:t>
            </w:r>
          </w:p>
        </w:tc>
        <w:tc>
          <w:tcPr>
            <w:tcW w:w="1033" w:type="pct"/>
            <w:tcBorders>
              <w:top w:val="single" w:sz="4" w:space="0" w:color="auto"/>
              <w:left w:val="single" w:sz="4" w:space="0" w:color="auto"/>
              <w:bottom w:val="single" w:sz="4" w:space="0" w:color="auto"/>
              <w:right w:val="single" w:sz="4" w:space="0" w:color="auto"/>
            </w:tcBorders>
            <w:vAlign w:val="center"/>
            <w:hideMark/>
          </w:tcPr>
          <w:p w14:paraId="74C40BE5" w14:textId="77777777" w:rsidR="00D01F25" w:rsidRPr="00955F14" w:rsidRDefault="00D01F25" w:rsidP="00A477BC">
            <w:pPr>
              <w:jc w:val="center"/>
              <w:rPr>
                <w:snapToGrid w:val="0"/>
              </w:rPr>
            </w:pPr>
            <w:r w:rsidRPr="00955F14">
              <w:rPr>
                <w:snapToGrid w:val="0"/>
              </w:rPr>
              <w:t>355,1</w:t>
            </w:r>
          </w:p>
        </w:tc>
        <w:tc>
          <w:tcPr>
            <w:tcW w:w="1033" w:type="pct"/>
            <w:tcBorders>
              <w:top w:val="single" w:sz="4" w:space="0" w:color="auto"/>
              <w:left w:val="single" w:sz="4" w:space="0" w:color="auto"/>
              <w:bottom w:val="single" w:sz="4" w:space="0" w:color="auto"/>
              <w:right w:val="single" w:sz="4" w:space="0" w:color="auto"/>
            </w:tcBorders>
            <w:vAlign w:val="center"/>
            <w:hideMark/>
          </w:tcPr>
          <w:p w14:paraId="2009489A" w14:textId="77777777" w:rsidR="00D01F25" w:rsidRPr="00955F14" w:rsidRDefault="00D01F25" w:rsidP="00A477BC">
            <w:pPr>
              <w:jc w:val="center"/>
              <w:rPr>
                <w:snapToGrid w:val="0"/>
              </w:rPr>
            </w:pPr>
            <w:r w:rsidRPr="00955F14">
              <w:rPr>
                <w:snapToGrid w:val="0"/>
              </w:rPr>
              <w:t>467,1</w:t>
            </w:r>
          </w:p>
        </w:tc>
        <w:tc>
          <w:tcPr>
            <w:tcW w:w="1033" w:type="pct"/>
            <w:tcBorders>
              <w:top w:val="single" w:sz="4" w:space="0" w:color="auto"/>
              <w:left w:val="single" w:sz="4" w:space="0" w:color="auto"/>
              <w:bottom w:val="single" w:sz="4" w:space="0" w:color="auto"/>
              <w:right w:val="single" w:sz="4" w:space="0" w:color="auto"/>
            </w:tcBorders>
            <w:vAlign w:val="center"/>
            <w:hideMark/>
          </w:tcPr>
          <w:p w14:paraId="1F3311E4" w14:textId="77777777" w:rsidR="00D01F25" w:rsidRPr="00955F14" w:rsidRDefault="00D01F25" w:rsidP="00A477BC">
            <w:pPr>
              <w:jc w:val="center"/>
              <w:rPr>
                <w:snapToGrid w:val="0"/>
              </w:rPr>
            </w:pPr>
            <w:r w:rsidRPr="00955F14">
              <w:rPr>
                <w:snapToGrid w:val="0"/>
              </w:rPr>
              <w:t>450,6</w:t>
            </w:r>
          </w:p>
        </w:tc>
      </w:tr>
    </w:tbl>
    <w:p w14:paraId="105C65FC" w14:textId="77777777" w:rsidR="00D01F25" w:rsidRPr="00955F14" w:rsidRDefault="00D01F25" w:rsidP="00D01F25">
      <w:pPr>
        <w:jc w:val="both"/>
        <w:rPr>
          <w:snapToGrid w:val="0"/>
        </w:rPr>
      </w:pPr>
      <w:r w:rsidRPr="00955F14">
        <w:rPr>
          <w:snapToGrid w:val="0"/>
        </w:rPr>
        <w:lastRenderedPageBreak/>
        <w:t xml:space="preserve">EXIMBANKA SR poskytuje svojim klientom produktové portfólio ako jedna inštitúcia, to znamená, že v niektorých oblastiach dochádza k vzájomnej previazanosti bankových a poisťovacích produktov, ktoré majú suplementárny charakter, čo môže znamenať nárast angažovanosti v jednej činnosti na úkor druhej. </w:t>
      </w:r>
    </w:p>
    <w:p w14:paraId="667F24F3" w14:textId="77777777" w:rsidR="00D01F25" w:rsidRPr="00955F14" w:rsidRDefault="00D01F25" w:rsidP="00D01F25">
      <w:pPr>
        <w:jc w:val="both"/>
        <w:rPr>
          <w:snapToGrid w:val="0"/>
        </w:rPr>
      </w:pPr>
    </w:p>
    <w:p w14:paraId="36B970D8" w14:textId="77777777" w:rsidR="00D01F25" w:rsidRPr="00955F14" w:rsidRDefault="00D01F25" w:rsidP="00D01F25">
      <w:pPr>
        <w:pStyle w:val="Zarkazkladnhotextu"/>
        <w:spacing w:after="0"/>
        <w:ind w:left="0"/>
        <w:jc w:val="both"/>
        <w:rPr>
          <w:b/>
          <w:snapToGrid w:val="0"/>
        </w:rPr>
      </w:pPr>
      <w:r w:rsidRPr="00955F14">
        <w:rPr>
          <w:b/>
          <w:snapToGrid w:val="0"/>
        </w:rPr>
        <w:t>Vízia pre rok 2018</w:t>
      </w:r>
    </w:p>
    <w:p w14:paraId="032ADDE6" w14:textId="77777777" w:rsidR="00D01F25" w:rsidRPr="00955F14" w:rsidRDefault="00D01F25" w:rsidP="00D01F25">
      <w:pPr>
        <w:jc w:val="both"/>
        <w:rPr>
          <w:snapToGrid w:val="0"/>
        </w:rPr>
      </w:pPr>
    </w:p>
    <w:p w14:paraId="1E8F625A" w14:textId="77777777" w:rsidR="00D01F25" w:rsidRPr="00955F14" w:rsidRDefault="00D01F25" w:rsidP="00D01F25">
      <w:pPr>
        <w:jc w:val="both"/>
        <w:rPr>
          <w:snapToGrid w:val="0"/>
        </w:rPr>
      </w:pPr>
      <w:r w:rsidRPr="00955F14">
        <w:rPr>
          <w:snapToGrid w:val="0"/>
        </w:rPr>
        <w:t>EXIMBANKE SR záleží na úspechu našich slovenských exportérov a chce sa stať ich partnerom pri realizácii ich exportných zámerov. Naďalej vo svojej činnosti bude podporovať všetkých vývozcov tovarov a služieb v rámci rôznych  segmentov slovenskej ekonomiky. Prioritou taktiež ostáva podpora malých a stredných podnikov.</w:t>
      </w:r>
    </w:p>
    <w:p w14:paraId="7DBCC719" w14:textId="77777777" w:rsidR="00D01F25" w:rsidRPr="00955F14" w:rsidRDefault="00D01F25" w:rsidP="00D01F25">
      <w:pPr>
        <w:jc w:val="both"/>
      </w:pPr>
    </w:p>
    <w:p w14:paraId="4E2F07F6" w14:textId="77777777" w:rsidR="00D01F25" w:rsidRPr="00955F14" w:rsidRDefault="00D01F25" w:rsidP="00D01F25">
      <w:pPr>
        <w:jc w:val="both"/>
        <w:rPr>
          <w:snapToGrid w:val="0"/>
        </w:rPr>
      </w:pPr>
      <w:r w:rsidRPr="00955F14">
        <w:rPr>
          <w:snapToGrid w:val="0"/>
        </w:rPr>
        <w:t xml:space="preserve">Strategickým zámerom z pohľadu diverzifikácie teritoriálnej štruktúry naďalej pre EXIMBANKU SR ostáva podpora vývozu mimo krajín Európskej únie. Ide hlavne o tie krajiny, kde je reálna šanca na odbyt výrobkov, a ktoré majú potrebnú ekonomickú i politickú stabilitu. </w:t>
      </w:r>
    </w:p>
    <w:p w14:paraId="7D514832" w14:textId="77777777" w:rsidR="00D01F25" w:rsidRPr="00955F14" w:rsidRDefault="00D01F25" w:rsidP="00D01F25">
      <w:pPr>
        <w:jc w:val="both"/>
        <w:rPr>
          <w:snapToGrid w:val="0"/>
        </w:rPr>
      </w:pPr>
    </w:p>
    <w:p w14:paraId="324BB295" w14:textId="1A87DBD0" w:rsidR="00D01F25" w:rsidRPr="00955F14" w:rsidRDefault="00D01F25" w:rsidP="00D01F25">
      <w:pPr>
        <w:jc w:val="both"/>
      </w:pPr>
      <w:r w:rsidRPr="00955F14">
        <w:rPr>
          <w:snapToGrid w:val="0"/>
        </w:rPr>
        <w:t xml:space="preserve">Pre budúce obdobie EXIMBANKA SR, okrem podpory exportu prostredníctvom bankových a poisťovacích produktov, plánuje naďalej </w:t>
      </w:r>
      <w:r w:rsidRPr="00955F14">
        <w:rPr>
          <w:lang w:val="x-none"/>
        </w:rPr>
        <w:t>pokračova</w:t>
      </w:r>
      <w:r w:rsidRPr="00955F14">
        <w:t>ť</w:t>
      </w:r>
      <w:r w:rsidRPr="00955F14">
        <w:rPr>
          <w:lang w:val="x-none"/>
        </w:rPr>
        <w:t xml:space="preserve"> </w:t>
      </w:r>
      <w:r w:rsidRPr="00955F14">
        <w:t xml:space="preserve">v poskytovaní </w:t>
      </w:r>
      <w:r w:rsidRPr="00955F14">
        <w:rPr>
          <w:lang w:val="x-none"/>
        </w:rPr>
        <w:t>individuálneho poradenstva</w:t>
      </w:r>
      <w:r w:rsidRPr="00955F14">
        <w:t xml:space="preserve">, </w:t>
      </w:r>
      <w:r w:rsidRPr="00955F14">
        <w:rPr>
          <w:lang w:val="x-none"/>
        </w:rPr>
        <w:t>v realizácii Exportných klubov EXIMBANKY SR</w:t>
      </w:r>
      <w:r w:rsidRPr="00955F14">
        <w:t>. Ďalej sa chce</w:t>
      </w:r>
      <w:r w:rsidRPr="00955F14">
        <w:rPr>
          <w:snapToGrid w:val="0"/>
        </w:rPr>
        <w:t xml:space="preserve"> zamerať </w:t>
      </w:r>
      <w:r w:rsidR="0006283F">
        <w:rPr>
          <w:snapToGrid w:val="0"/>
        </w:rPr>
        <w:br/>
      </w:r>
      <w:r w:rsidRPr="00955F14">
        <w:rPr>
          <w:snapToGrid w:val="0"/>
        </w:rPr>
        <w:t xml:space="preserve">na aktívny akvizičný proces so zapojením partnerských inštitúcií zriadených na podporu podnikania, akou je napr. SARIO, a tiež v spolupracovať s relevantnými ministerstvami a ekonomickými diplomatmi v zahraničí. </w:t>
      </w:r>
      <w:r w:rsidRPr="00955F14">
        <w:t xml:space="preserve">Proexportné zámery sa budú realizovať </w:t>
      </w:r>
      <w:r w:rsidR="0006283F">
        <w:br/>
      </w:r>
      <w:r w:rsidRPr="00955F14">
        <w:t>s maximálnou snahou o aktívne prepojenie činností všetkých zainteresovaných strán, ktoré predstavujú strategickú ale aj operatívnu súčasť podpory slovenského exportu.</w:t>
      </w:r>
    </w:p>
    <w:p w14:paraId="25682235" w14:textId="77777777" w:rsidR="00D01F25" w:rsidRPr="000C70A8" w:rsidRDefault="00D01F25" w:rsidP="00E96806">
      <w:pPr>
        <w:jc w:val="both"/>
      </w:pPr>
    </w:p>
    <w:p w14:paraId="23A8E40A" w14:textId="751A723D" w:rsidR="00DD07C7" w:rsidRPr="00FD068D" w:rsidRDefault="00DD07C7" w:rsidP="00DD07C7">
      <w:pPr>
        <w:pStyle w:val="Nadpis3"/>
        <w:rPr>
          <w:rFonts w:ascii="Times New Roman" w:hAnsi="Times New Roman" w:cs="Times New Roman"/>
          <w:color w:val="auto"/>
          <w:sz w:val="24"/>
        </w:rPr>
      </w:pPr>
      <w:bookmarkStart w:id="39" w:name="_Toc500503413"/>
      <w:bookmarkStart w:id="40" w:name="_Toc498377389"/>
      <w:r w:rsidRPr="00DB54A7">
        <w:rPr>
          <w:rFonts w:ascii="Times New Roman" w:hAnsi="Times New Roman" w:cs="Times New Roman"/>
          <w:color w:val="auto"/>
          <w:sz w:val="24"/>
        </w:rPr>
        <w:t>3.1.6 Podiel exportu služieb</w:t>
      </w:r>
      <w:bookmarkEnd w:id="39"/>
    </w:p>
    <w:p w14:paraId="4050B45E" w14:textId="77777777" w:rsidR="00DB54A7" w:rsidRDefault="00DB54A7" w:rsidP="00DB54A7">
      <w:pPr>
        <w:tabs>
          <w:tab w:val="left" w:pos="2826"/>
        </w:tabs>
        <w:rPr>
          <w:color w:val="FF0000"/>
        </w:rPr>
      </w:pPr>
    </w:p>
    <w:p w14:paraId="04147A5B" w14:textId="77777777" w:rsidR="00DB54A7" w:rsidRPr="00DB54A7" w:rsidRDefault="00DB54A7" w:rsidP="0006283F">
      <w:pPr>
        <w:jc w:val="both"/>
        <w:rPr>
          <w:rFonts w:eastAsia="Calibri"/>
        </w:rPr>
      </w:pPr>
      <w:r w:rsidRPr="00DB54A7">
        <w:rPr>
          <w:rFonts w:eastAsia="Calibri"/>
        </w:rPr>
        <w:t xml:space="preserve">Podľa údajov Národnej banky Slovenska (NBS) dosiahli </w:t>
      </w:r>
      <w:r w:rsidRPr="00DB54A7">
        <w:rPr>
          <w:rFonts w:eastAsia="Calibri"/>
          <w:b/>
          <w:bCs/>
        </w:rPr>
        <w:t xml:space="preserve">príjmy z aktívneho zahraničného cestovného ruchu (AZCR) SR v roku 2016 </w:t>
      </w:r>
      <w:r w:rsidRPr="00DB54A7">
        <w:rPr>
          <w:rFonts w:eastAsia="Calibri"/>
        </w:rPr>
        <w:t>výšku</w:t>
      </w:r>
      <w:r w:rsidRPr="00DB54A7">
        <w:rPr>
          <w:rFonts w:eastAsia="Calibri"/>
          <w:b/>
          <w:bCs/>
        </w:rPr>
        <w:t xml:space="preserve"> 2 482,8 mil. eur</w:t>
      </w:r>
      <w:r w:rsidRPr="00DB54A7">
        <w:rPr>
          <w:rFonts w:eastAsia="Calibri"/>
        </w:rPr>
        <w:t>, čo je o </w:t>
      </w:r>
      <w:r w:rsidRPr="00DB54A7">
        <w:rPr>
          <w:rFonts w:eastAsia="Calibri"/>
          <w:b/>
          <w:bCs/>
        </w:rPr>
        <w:t>13,3% viac</w:t>
      </w:r>
      <w:r w:rsidRPr="00DB54A7">
        <w:rPr>
          <w:rFonts w:eastAsia="Calibri"/>
        </w:rPr>
        <w:t xml:space="preserve"> než v roku 2015. Je to vôbec najvyššia dosiahnutá hodnota príjmov z AZCR za celé obdobie samostatnej SR. V absolútnom vyjadrení sa príjmy medziročne zvýšili o 291,1 mil. eur. </w:t>
      </w:r>
    </w:p>
    <w:p w14:paraId="20A6A6BD" w14:textId="77777777" w:rsidR="00DB54A7" w:rsidRPr="00DB54A7" w:rsidRDefault="00DB54A7" w:rsidP="0006283F">
      <w:pPr>
        <w:jc w:val="both"/>
        <w:rPr>
          <w:rFonts w:eastAsia="Calibri"/>
        </w:rPr>
      </w:pPr>
    </w:p>
    <w:p w14:paraId="3457648C" w14:textId="3E64B2AA" w:rsidR="00DB54A7" w:rsidRPr="00DB54A7" w:rsidRDefault="00DB54A7" w:rsidP="0006283F">
      <w:pPr>
        <w:ind w:right="79"/>
        <w:jc w:val="both"/>
        <w:rPr>
          <w:rFonts w:eastAsia="Arial Unicode MS"/>
          <w:b/>
          <w:bCs/>
          <w:lang w:eastAsia="en-US"/>
        </w:rPr>
      </w:pPr>
      <w:r w:rsidRPr="00DB54A7">
        <w:rPr>
          <w:rFonts w:eastAsia="Arial Unicode MS"/>
          <w:b/>
          <w:bCs/>
          <w:lang w:eastAsia="en-US"/>
        </w:rPr>
        <w:t>Výdavky</w:t>
      </w:r>
      <w:r w:rsidRPr="00DB54A7">
        <w:rPr>
          <w:rFonts w:eastAsia="Arial Unicode MS"/>
          <w:lang w:eastAsia="en-US"/>
        </w:rPr>
        <w:t xml:space="preserve"> občanov SR na zahraničný cestov</w:t>
      </w:r>
      <w:r w:rsidR="0006283F">
        <w:rPr>
          <w:rFonts w:eastAsia="Arial Unicode MS"/>
          <w:lang w:eastAsia="en-US"/>
        </w:rPr>
        <w:t xml:space="preserve">ný ruch zaznamenali v roku 2016 </w:t>
      </w:r>
      <w:r w:rsidRPr="00DB54A7">
        <w:rPr>
          <w:rFonts w:eastAsia="Arial Unicode MS"/>
          <w:lang w:eastAsia="en-US"/>
        </w:rPr>
        <w:t>hodnotu </w:t>
      </w:r>
      <w:r w:rsidRPr="00DB54A7">
        <w:rPr>
          <w:rFonts w:eastAsia="Arial Unicode MS"/>
          <w:b/>
          <w:bCs/>
          <w:lang w:eastAsia="en-US"/>
        </w:rPr>
        <w:t>2 022,6 mil. eur</w:t>
      </w:r>
      <w:r w:rsidRPr="00DB54A7">
        <w:rPr>
          <w:rFonts w:eastAsia="Arial Unicode MS"/>
          <w:lang w:eastAsia="en-US"/>
        </w:rPr>
        <w:t xml:space="preserve">, čo oproti roku 2015 znamená medziročné </w:t>
      </w:r>
      <w:r w:rsidRPr="00DB54A7">
        <w:rPr>
          <w:rFonts w:eastAsia="Arial Unicode MS"/>
          <w:b/>
          <w:bCs/>
          <w:lang w:eastAsia="en-US"/>
        </w:rPr>
        <w:t>zvýšenie o 5,5%.</w:t>
      </w:r>
      <w:r w:rsidRPr="00DB54A7">
        <w:rPr>
          <w:rFonts w:eastAsia="Arial Unicode MS"/>
          <w:lang w:eastAsia="en-US"/>
        </w:rPr>
        <w:t xml:space="preserve"> Oproti roku 2015 výdavky vzrástli v absolútnych číslach o 105,4 mil. eur.</w:t>
      </w:r>
    </w:p>
    <w:p w14:paraId="17B91811" w14:textId="77777777" w:rsidR="00DB54A7" w:rsidRPr="00DB54A7" w:rsidRDefault="00DB54A7" w:rsidP="0006283F">
      <w:pPr>
        <w:jc w:val="both"/>
        <w:rPr>
          <w:rFonts w:eastAsia="Calibri"/>
          <w:b/>
          <w:bCs/>
          <w:lang w:eastAsia="en-US"/>
        </w:rPr>
      </w:pPr>
    </w:p>
    <w:p w14:paraId="32DD0969" w14:textId="77777777" w:rsidR="00DB54A7" w:rsidRPr="00DB54A7" w:rsidRDefault="00DB54A7" w:rsidP="0006283F">
      <w:pPr>
        <w:jc w:val="both"/>
        <w:rPr>
          <w:rFonts w:eastAsia="Calibri"/>
        </w:rPr>
      </w:pPr>
      <w:r w:rsidRPr="00DB54A7">
        <w:rPr>
          <w:rFonts w:eastAsia="Calibri"/>
          <w:b/>
          <w:bCs/>
        </w:rPr>
        <w:t>Saldo zahraničného cestovného ruchu</w:t>
      </w:r>
      <w:r w:rsidRPr="00DB54A7">
        <w:rPr>
          <w:rFonts w:eastAsia="Calibri"/>
        </w:rPr>
        <w:t xml:space="preserve"> SR bolo v roku 2016 aktívne vo výške </w:t>
      </w:r>
      <w:r w:rsidRPr="00DB54A7">
        <w:rPr>
          <w:rFonts w:eastAsia="Calibri"/>
          <w:b/>
          <w:bCs/>
        </w:rPr>
        <w:t>460,2 mil. EUR</w:t>
      </w:r>
      <w:r w:rsidRPr="00DB54A7">
        <w:rPr>
          <w:rFonts w:eastAsia="Calibri"/>
        </w:rPr>
        <w:t>, čo je o 67,7% viac, než v roku 2015. V absolútnom vyjadrení sa oproti roku 2015 zvýšilo o 185,7 mil. eur.</w:t>
      </w:r>
    </w:p>
    <w:p w14:paraId="64BED4B0" w14:textId="77777777" w:rsidR="00DB54A7" w:rsidRPr="00DB54A7" w:rsidRDefault="00DB54A7" w:rsidP="0006283F">
      <w:pPr>
        <w:jc w:val="both"/>
        <w:rPr>
          <w:rFonts w:eastAsia="Calibri"/>
        </w:rPr>
      </w:pPr>
    </w:p>
    <w:p w14:paraId="07F25216" w14:textId="69088018" w:rsidR="00DB54A7" w:rsidRPr="00DB54A7" w:rsidRDefault="00DB54A7" w:rsidP="0006283F">
      <w:pPr>
        <w:jc w:val="both"/>
        <w:rPr>
          <w:rFonts w:eastAsia="Calibri"/>
        </w:rPr>
      </w:pPr>
      <w:r w:rsidRPr="00DB54A7">
        <w:rPr>
          <w:rFonts w:eastAsia="Calibri"/>
        </w:rPr>
        <w:t xml:space="preserve">Podiel AZCR SR na exporte tovarov a služieb bol v roku 2016 na úrovni 3,3 %, pričom </w:t>
      </w:r>
      <w:r w:rsidR="0006283F">
        <w:rPr>
          <w:rFonts w:eastAsia="Calibri"/>
        </w:rPr>
        <w:br/>
      </w:r>
      <w:r w:rsidRPr="00DB54A7">
        <w:rPr>
          <w:rFonts w:eastAsia="Calibri"/>
        </w:rPr>
        <w:t>v roku 2015 to boli 3%.</w:t>
      </w:r>
    </w:p>
    <w:p w14:paraId="7643C9EA" w14:textId="77777777" w:rsidR="00DB54A7" w:rsidRPr="00DB54A7" w:rsidRDefault="00DB54A7" w:rsidP="00DB54A7">
      <w:pPr>
        <w:rPr>
          <w:rFonts w:eastAsia="Calibri"/>
        </w:rPr>
      </w:pPr>
    </w:p>
    <w:tbl>
      <w:tblPr>
        <w:tblW w:w="4942" w:type="pct"/>
        <w:tblInd w:w="108" w:type="dxa"/>
        <w:tblCellMar>
          <w:left w:w="0" w:type="dxa"/>
          <w:right w:w="0" w:type="dxa"/>
        </w:tblCellMar>
        <w:tblLook w:val="04A0" w:firstRow="1" w:lastRow="0" w:firstColumn="1" w:lastColumn="0" w:noHBand="0" w:noVBand="1"/>
      </w:tblPr>
      <w:tblGrid>
        <w:gridCol w:w="4560"/>
        <w:gridCol w:w="2277"/>
        <w:gridCol w:w="2343"/>
      </w:tblGrid>
      <w:tr w:rsidR="00DB54A7" w:rsidRPr="00DB54A7" w14:paraId="46801DE1" w14:textId="77777777" w:rsidTr="00DB54A7">
        <w:tc>
          <w:tcPr>
            <w:tcW w:w="2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A6117E" w14:textId="77777777" w:rsidR="00DB54A7" w:rsidRPr="00DB54A7" w:rsidRDefault="00DB54A7" w:rsidP="00DB54A7">
            <w:pPr>
              <w:spacing w:line="276" w:lineRule="auto"/>
              <w:jc w:val="both"/>
              <w:rPr>
                <w:rFonts w:eastAsia="Calibri"/>
              </w:rPr>
            </w:pPr>
            <w:r w:rsidRPr="00DB54A7">
              <w:rPr>
                <w:rFonts w:eastAsia="Calibri"/>
                <w:lang w:eastAsia="en-US"/>
              </w:rPr>
              <w:t>Export  služieb  rok 2016</w:t>
            </w:r>
          </w:p>
        </w:tc>
        <w:tc>
          <w:tcPr>
            <w:tcW w:w="12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F9CF6F" w14:textId="77777777" w:rsidR="00DB54A7" w:rsidRPr="00DB54A7" w:rsidRDefault="00DB54A7" w:rsidP="00DB54A7">
            <w:pPr>
              <w:spacing w:line="276" w:lineRule="auto"/>
              <w:jc w:val="both"/>
              <w:rPr>
                <w:rFonts w:eastAsia="Calibri"/>
              </w:rPr>
            </w:pPr>
            <w:r w:rsidRPr="00DB54A7">
              <w:rPr>
                <w:rFonts w:eastAsia="Calibri"/>
                <w:lang w:eastAsia="en-US"/>
              </w:rPr>
              <w:t>Hodnota</w:t>
            </w:r>
          </w:p>
        </w:tc>
        <w:tc>
          <w:tcPr>
            <w:tcW w:w="127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97CC29" w14:textId="77777777" w:rsidR="00DB54A7" w:rsidRPr="00DB54A7" w:rsidRDefault="00DB54A7" w:rsidP="00DB54A7">
            <w:pPr>
              <w:spacing w:line="276" w:lineRule="auto"/>
              <w:jc w:val="both"/>
              <w:rPr>
                <w:rFonts w:eastAsia="Calibri"/>
              </w:rPr>
            </w:pPr>
            <w:r w:rsidRPr="00DB54A7">
              <w:rPr>
                <w:rFonts w:eastAsia="Calibri"/>
                <w:lang w:eastAsia="en-US"/>
              </w:rPr>
              <w:t>Podiel %</w:t>
            </w:r>
          </w:p>
        </w:tc>
      </w:tr>
      <w:tr w:rsidR="00DB54A7" w:rsidRPr="00DB54A7" w14:paraId="258F1BAF" w14:textId="77777777" w:rsidTr="00DB54A7">
        <w:tc>
          <w:tcPr>
            <w:tcW w:w="24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072A8A" w14:textId="77777777" w:rsidR="00DB54A7" w:rsidRPr="00DB54A7" w:rsidRDefault="00DB54A7" w:rsidP="00DB54A7">
            <w:pPr>
              <w:spacing w:line="276" w:lineRule="auto"/>
              <w:jc w:val="both"/>
              <w:rPr>
                <w:rFonts w:eastAsia="Calibri"/>
              </w:rPr>
            </w:pPr>
            <w:r w:rsidRPr="00DB54A7">
              <w:rPr>
                <w:rFonts w:eastAsia="Calibri"/>
                <w:lang w:eastAsia="en-US"/>
              </w:rPr>
              <w:t>Export  (v mil. eur)</w:t>
            </w:r>
          </w:p>
        </w:tc>
        <w:tc>
          <w:tcPr>
            <w:tcW w:w="1240" w:type="pct"/>
            <w:tcBorders>
              <w:top w:val="nil"/>
              <w:left w:val="nil"/>
              <w:bottom w:val="single" w:sz="8" w:space="0" w:color="auto"/>
              <w:right w:val="single" w:sz="8" w:space="0" w:color="auto"/>
            </w:tcBorders>
            <w:tcMar>
              <w:top w:w="0" w:type="dxa"/>
              <w:left w:w="108" w:type="dxa"/>
              <w:bottom w:w="0" w:type="dxa"/>
              <w:right w:w="108" w:type="dxa"/>
            </w:tcMar>
            <w:hideMark/>
          </w:tcPr>
          <w:p w14:paraId="79F7B5E3" w14:textId="77777777" w:rsidR="00DB54A7" w:rsidRPr="00DB54A7" w:rsidRDefault="00DB54A7" w:rsidP="00DB54A7">
            <w:pPr>
              <w:spacing w:line="276" w:lineRule="auto"/>
              <w:jc w:val="both"/>
              <w:rPr>
                <w:rFonts w:eastAsia="Calibri"/>
              </w:rPr>
            </w:pPr>
            <w:r w:rsidRPr="00DB54A7">
              <w:rPr>
                <w:rFonts w:eastAsia="Calibri"/>
                <w:lang w:eastAsia="en-US"/>
              </w:rPr>
              <w:t> </w:t>
            </w:r>
          </w:p>
        </w:tc>
        <w:tc>
          <w:tcPr>
            <w:tcW w:w="1276" w:type="pct"/>
            <w:tcBorders>
              <w:top w:val="nil"/>
              <w:left w:val="nil"/>
              <w:bottom w:val="single" w:sz="8" w:space="0" w:color="auto"/>
              <w:right w:val="single" w:sz="8" w:space="0" w:color="auto"/>
            </w:tcBorders>
            <w:tcMar>
              <w:top w:w="0" w:type="dxa"/>
              <w:left w:w="108" w:type="dxa"/>
              <w:bottom w:w="0" w:type="dxa"/>
              <w:right w:w="108" w:type="dxa"/>
            </w:tcMar>
            <w:hideMark/>
          </w:tcPr>
          <w:p w14:paraId="2F09C9CA" w14:textId="77777777" w:rsidR="00DB54A7" w:rsidRPr="00DB54A7" w:rsidRDefault="00DB54A7" w:rsidP="00DB54A7">
            <w:pPr>
              <w:spacing w:line="276" w:lineRule="auto"/>
              <w:jc w:val="both"/>
              <w:rPr>
                <w:rFonts w:eastAsia="Calibri"/>
              </w:rPr>
            </w:pPr>
            <w:r w:rsidRPr="00DB54A7">
              <w:rPr>
                <w:rFonts w:eastAsia="Calibri"/>
                <w:lang w:eastAsia="en-US"/>
              </w:rPr>
              <w:t> </w:t>
            </w:r>
          </w:p>
        </w:tc>
      </w:tr>
      <w:tr w:rsidR="00DB54A7" w:rsidRPr="00DB54A7" w14:paraId="69C6C809" w14:textId="77777777" w:rsidTr="00DB54A7">
        <w:tc>
          <w:tcPr>
            <w:tcW w:w="24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25BF1E" w14:textId="77777777" w:rsidR="00DB54A7" w:rsidRPr="00DB54A7" w:rsidRDefault="00DB54A7" w:rsidP="00DB54A7">
            <w:pPr>
              <w:spacing w:line="276" w:lineRule="auto"/>
              <w:jc w:val="both"/>
              <w:rPr>
                <w:rFonts w:eastAsia="Calibri"/>
              </w:rPr>
            </w:pPr>
            <w:r w:rsidRPr="00DB54A7">
              <w:rPr>
                <w:rFonts w:eastAsia="Calibri"/>
                <w:lang w:eastAsia="en-US"/>
              </w:rPr>
              <w:t>Tovary a služby</w:t>
            </w:r>
          </w:p>
        </w:tc>
        <w:tc>
          <w:tcPr>
            <w:tcW w:w="1240" w:type="pct"/>
            <w:tcBorders>
              <w:top w:val="nil"/>
              <w:left w:val="nil"/>
              <w:bottom w:val="single" w:sz="8" w:space="0" w:color="auto"/>
              <w:right w:val="single" w:sz="8" w:space="0" w:color="auto"/>
            </w:tcBorders>
            <w:tcMar>
              <w:top w:w="0" w:type="dxa"/>
              <w:left w:w="108" w:type="dxa"/>
              <w:bottom w:w="0" w:type="dxa"/>
              <w:right w:w="108" w:type="dxa"/>
            </w:tcMar>
            <w:hideMark/>
          </w:tcPr>
          <w:p w14:paraId="0921EB19" w14:textId="77777777" w:rsidR="00DB54A7" w:rsidRPr="00DB54A7" w:rsidRDefault="00DB54A7" w:rsidP="00DB54A7">
            <w:pPr>
              <w:spacing w:line="276" w:lineRule="auto"/>
              <w:jc w:val="both"/>
              <w:rPr>
                <w:rFonts w:eastAsia="Calibri"/>
              </w:rPr>
            </w:pPr>
            <w:r w:rsidRPr="00DB54A7">
              <w:rPr>
                <w:rFonts w:eastAsia="Calibri"/>
                <w:lang w:eastAsia="en-US"/>
              </w:rPr>
              <w:t>74 843,8</w:t>
            </w:r>
          </w:p>
        </w:tc>
        <w:tc>
          <w:tcPr>
            <w:tcW w:w="1276" w:type="pct"/>
            <w:tcBorders>
              <w:top w:val="nil"/>
              <w:left w:val="nil"/>
              <w:bottom w:val="single" w:sz="8" w:space="0" w:color="auto"/>
              <w:right w:val="single" w:sz="8" w:space="0" w:color="auto"/>
            </w:tcBorders>
            <w:tcMar>
              <w:top w:w="0" w:type="dxa"/>
              <w:left w:w="108" w:type="dxa"/>
              <w:bottom w:w="0" w:type="dxa"/>
              <w:right w:w="108" w:type="dxa"/>
            </w:tcMar>
            <w:hideMark/>
          </w:tcPr>
          <w:p w14:paraId="7544C1AC" w14:textId="77777777" w:rsidR="00DB54A7" w:rsidRPr="00DB54A7" w:rsidRDefault="00DB54A7" w:rsidP="00DB54A7">
            <w:pPr>
              <w:spacing w:line="276" w:lineRule="auto"/>
              <w:jc w:val="both"/>
              <w:rPr>
                <w:rFonts w:eastAsia="Calibri"/>
              </w:rPr>
            </w:pPr>
            <w:r w:rsidRPr="00DB54A7">
              <w:rPr>
                <w:rFonts w:eastAsia="Calibri"/>
                <w:lang w:eastAsia="en-US"/>
              </w:rPr>
              <w:t>100,0</w:t>
            </w:r>
          </w:p>
        </w:tc>
      </w:tr>
      <w:tr w:rsidR="00DB54A7" w:rsidRPr="00DB54A7" w14:paraId="4179923A" w14:textId="77777777" w:rsidTr="00DB54A7">
        <w:tc>
          <w:tcPr>
            <w:tcW w:w="24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4F856" w14:textId="77777777" w:rsidR="00DB54A7" w:rsidRPr="00DB54A7" w:rsidRDefault="00DB54A7" w:rsidP="00DB54A7">
            <w:pPr>
              <w:spacing w:line="276" w:lineRule="auto"/>
              <w:jc w:val="both"/>
              <w:rPr>
                <w:rFonts w:eastAsia="Calibri"/>
              </w:rPr>
            </w:pPr>
            <w:r w:rsidRPr="00DB54A7">
              <w:rPr>
                <w:rFonts w:eastAsia="Calibri"/>
                <w:lang w:eastAsia="en-US"/>
              </w:rPr>
              <w:t>Tovary</w:t>
            </w:r>
          </w:p>
        </w:tc>
        <w:tc>
          <w:tcPr>
            <w:tcW w:w="1240" w:type="pct"/>
            <w:tcBorders>
              <w:top w:val="nil"/>
              <w:left w:val="nil"/>
              <w:bottom w:val="single" w:sz="8" w:space="0" w:color="auto"/>
              <w:right w:val="single" w:sz="8" w:space="0" w:color="auto"/>
            </w:tcBorders>
            <w:tcMar>
              <w:top w:w="0" w:type="dxa"/>
              <w:left w:w="108" w:type="dxa"/>
              <w:bottom w:w="0" w:type="dxa"/>
              <w:right w:w="108" w:type="dxa"/>
            </w:tcMar>
            <w:hideMark/>
          </w:tcPr>
          <w:p w14:paraId="15E7A069" w14:textId="77777777" w:rsidR="00DB54A7" w:rsidRPr="00DB54A7" w:rsidRDefault="00DB54A7" w:rsidP="00DB54A7">
            <w:pPr>
              <w:spacing w:line="276" w:lineRule="auto"/>
              <w:jc w:val="both"/>
              <w:rPr>
                <w:rFonts w:eastAsia="Calibri"/>
              </w:rPr>
            </w:pPr>
            <w:r w:rsidRPr="00DB54A7">
              <w:rPr>
                <w:rFonts w:eastAsia="Calibri"/>
                <w:lang w:eastAsia="en-US"/>
              </w:rPr>
              <w:t>67 163,8</w:t>
            </w:r>
          </w:p>
        </w:tc>
        <w:tc>
          <w:tcPr>
            <w:tcW w:w="1276" w:type="pct"/>
            <w:tcBorders>
              <w:top w:val="nil"/>
              <w:left w:val="nil"/>
              <w:bottom w:val="single" w:sz="8" w:space="0" w:color="auto"/>
              <w:right w:val="single" w:sz="8" w:space="0" w:color="auto"/>
            </w:tcBorders>
            <w:tcMar>
              <w:top w:w="0" w:type="dxa"/>
              <w:left w:w="108" w:type="dxa"/>
              <w:bottom w:w="0" w:type="dxa"/>
              <w:right w:w="108" w:type="dxa"/>
            </w:tcMar>
            <w:hideMark/>
          </w:tcPr>
          <w:p w14:paraId="72019337" w14:textId="77777777" w:rsidR="00DB54A7" w:rsidRPr="00DB54A7" w:rsidRDefault="00DB54A7" w:rsidP="00DB54A7">
            <w:pPr>
              <w:spacing w:line="276" w:lineRule="auto"/>
              <w:jc w:val="both"/>
              <w:rPr>
                <w:rFonts w:eastAsia="Calibri"/>
              </w:rPr>
            </w:pPr>
            <w:r w:rsidRPr="00DB54A7">
              <w:rPr>
                <w:rFonts w:eastAsia="Calibri"/>
                <w:lang w:eastAsia="en-US"/>
              </w:rPr>
              <w:t>  89,7</w:t>
            </w:r>
          </w:p>
        </w:tc>
      </w:tr>
      <w:tr w:rsidR="00DB54A7" w:rsidRPr="00DB54A7" w14:paraId="1E853AB7" w14:textId="77777777" w:rsidTr="00DB54A7">
        <w:tc>
          <w:tcPr>
            <w:tcW w:w="24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EB8E77" w14:textId="77777777" w:rsidR="00DB54A7" w:rsidRPr="00DB54A7" w:rsidRDefault="00DB54A7" w:rsidP="00DB54A7">
            <w:pPr>
              <w:spacing w:line="276" w:lineRule="auto"/>
              <w:jc w:val="both"/>
              <w:rPr>
                <w:rFonts w:eastAsia="Calibri"/>
              </w:rPr>
            </w:pPr>
            <w:r w:rsidRPr="00DB54A7">
              <w:rPr>
                <w:rFonts w:eastAsia="Calibri"/>
                <w:lang w:eastAsia="en-US"/>
              </w:rPr>
              <w:lastRenderedPageBreak/>
              <w:t>Služby spolu</w:t>
            </w:r>
          </w:p>
        </w:tc>
        <w:tc>
          <w:tcPr>
            <w:tcW w:w="1240" w:type="pct"/>
            <w:tcBorders>
              <w:top w:val="nil"/>
              <w:left w:val="nil"/>
              <w:bottom w:val="single" w:sz="8" w:space="0" w:color="auto"/>
              <w:right w:val="single" w:sz="8" w:space="0" w:color="auto"/>
            </w:tcBorders>
            <w:tcMar>
              <w:top w:w="0" w:type="dxa"/>
              <w:left w:w="108" w:type="dxa"/>
              <w:bottom w:w="0" w:type="dxa"/>
              <w:right w:w="108" w:type="dxa"/>
            </w:tcMar>
            <w:hideMark/>
          </w:tcPr>
          <w:p w14:paraId="3AC54B70" w14:textId="77777777" w:rsidR="00DB54A7" w:rsidRPr="00DB54A7" w:rsidRDefault="00DB54A7" w:rsidP="00DB54A7">
            <w:pPr>
              <w:spacing w:line="276" w:lineRule="auto"/>
              <w:jc w:val="both"/>
              <w:rPr>
                <w:rFonts w:eastAsia="Calibri"/>
              </w:rPr>
            </w:pPr>
            <w:r w:rsidRPr="00DB54A7">
              <w:rPr>
                <w:rFonts w:eastAsia="Calibri"/>
                <w:lang w:eastAsia="en-US"/>
              </w:rPr>
              <w:t>  7 680,0</w:t>
            </w:r>
          </w:p>
        </w:tc>
        <w:tc>
          <w:tcPr>
            <w:tcW w:w="1276" w:type="pct"/>
            <w:tcBorders>
              <w:top w:val="nil"/>
              <w:left w:val="nil"/>
              <w:bottom w:val="single" w:sz="8" w:space="0" w:color="auto"/>
              <w:right w:val="single" w:sz="8" w:space="0" w:color="auto"/>
            </w:tcBorders>
            <w:tcMar>
              <w:top w:w="0" w:type="dxa"/>
              <w:left w:w="108" w:type="dxa"/>
              <w:bottom w:w="0" w:type="dxa"/>
              <w:right w:w="108" w:type="dxa"/>
            </w:tcMar>
            <w:hideMark/>
          </w:tcPr>
          <w:p w14:paraId="3DEBEA38" w14:textId="77777777" w:rsidR="00DB54A7" w:rsidRPr="00DB54A7" w:rsidRDefault="00DB54A7" w:rsidP="00DB54A7">
            <w:pPr>
              <w:spacing w:line="276" w:lineRule="auto"/>
              <w:jc w:val="both"/>
              <w:rPr>
                <w:rFonts w:eastAsia="Calibri"/>
              </w:rPr>
            </w:pPr>
            <w:r w:rsidRPr="00DB54A7">
              <w:rPr>
                <w:rFonts w:eastAsia="Calibri"/>
                <w:lang w:eastAsia="en-US"/>
              </w:rPr>
              <w:t>  10,3</w:t>
            </w:r>
          </w:p>
        </w:tc>
      </w:tr>
      <w:tr w:rsidR="00DB54A7" w:rsidRPr="00DB54A7" w14:paraId="49733422" w14:textId="77777777" w:rsidTr="00DB54A7">
        <w:tc>
          <w:tcPr>
            <w:tcW w:w="24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2A462F" w14:textId="77777777" w:rsidR="00DB54A7" w:rsidRPr="00DB54A7" w:rsidRDefault="00DB54A7" w:rsidP="00DB54A7">
            <w:pPr>
              <w:spacing w:line="276" w:lineRule="auto"/>
              <w:jc w:val="both"/>
              <w:rPr>
                <w:rFonts w:eastAsia="Calibri"/>
              </w:rPr>
            </w:pPr>
            <w:r w:rsidRPr="00DB54A7">
              <w:rPr>
                <w:rFonts w:eastAsia="Calibri"/>
                <w:lang w:eastAsia="en-US"/>
              </w:rPr>
              <w:t>z toho:</w:t>
            </w:r>
          </w:p>
        </w:tc>
        <w:tc>
          <w:tcPr>
            <w:tcW w:w="1240" w:type="pct"/>
            <w:tcBorders>
              <w:top w:val="nil"/>
              <w:left w:val="nil"/>
              <w:bottom w:val="single" w:sz="8" w:space="0" w:color="auto"/>
              <w:right w:val="single" w:sz="8" w:space="0" w:color="auto"/>
            </w:tcBorders>
            <w:tcMar>
              <w:top w:w="0" w:type="dxa"/>
              <w:left w:w="108" w:type="dxa"/>
              <w:bottom w:w="0" w:type="dxa"/>
              <w:right w:w="108" w:type="dxa"/>
            </w:tcMar>
            <w:hideMark/>
          </w:tcPr>
          <w:p w14:paraId="08D372C3" w14:textId="77777777" w:rsidR="00DB54A7" w:rsidRPr="00DB54A7" w:rsidRDefault="00DB54A7" w:rsidP="00DB54A7">
            <w:pPr>
              <w:spacing w:line="276" w:lineRule="auto"/>
              <w:jc w:val="both"/>
              <w:rPr>
                <w:rFonts w:eastAsia="Calibri"/>
              </w:rPr>
            </w:pPr>
            <w:r w:rsidRPr="00DB54A7">
              <w:rPr>
                <w:rFonts w:eastAsia="Calibri"/>
                <w:lang w:eastAsia="en-US"/>
              </w:rPr>
              <w:t> </w:t>
            </w:r>
          </w:p>
        </w:tc>
        <w:tc>
          <w:tcPr>
            <w:tcW w:w="1276" w:type="pct"/>
            <w:tcBorders>
              <w:top w:val="nil"/>
              <w:left w:val="nil"/>
              <w:bottom w:val="single" w:sz="8" w:space="0" w:color="auto"/>
              <w:right w:val="single" w:sz="8" w:space="0" w:color="auto"/>
            </w:tcBorders>
            <w:tcMar>
              <w:top w:w="0" w:type="dxa"/>
              <w:left w:w="108" w:type="dxa"/>
              <w:bottom w:w="0" w:type="dxa"/>
              <w:right w:w="108" w:type="dxa"/>
            </w:tcMar>
            <w:hideMark/>
          </w:tcPr>
          <w:p w14:paraId="32E655B8" w14:textId="77777777" w:rsidR="00DB54A7" w:rsidRPr="00DB54A7" w:rsidRDefault="00DB54A7" w:rsidP="00DB54A7">
            <w:pPr>
              <w:spacing w:line="276" w:lineRule="auto"/>
              <w:jc w:val="both"/>
              <w:rPr>
                <w:rFonts w:eastAsia="Calibri"/>
              </w:rPr>
            </w:pPr>
            <w:r w:rsidRPr="00DB54A7">
              <w:rPr>
                <w:rFonts w:eastAsia="Calibri"/>
                <w:lang w:eastAsia="en-US"/>
              </w:rPr>
              <w:t> </w:t>
            </w:r>
          </w:p>
        </w:tc>
      </w:tr>
      <w:tr w:rsidR="00DB54A7" w:rsidRPr="00DB54A7" w14:paraId="1CD942BE" w14:textId="77777777" w:rsidTr="00DB54A7">
        <w:tc>
          <w:tcPr>
            <w:tcW w:w="24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A3D058" w14:textId="77777777" w:rsidR="00DB54A7" w:rsidRPr="00DB54A7" w:rsidRDefault="00DB54A7" w:rsidP="00DB54A7">
            <w:pPr>
              <w:spacing w:line="276" w:lineRule="auto"/>
              <w:jc w:val="both"/>
              <w:rPr>
                <w:rFonts w:eastAsia="Calibri"/>
              </w:rPr>
            </w:pPr>
            <w:r w:rsidRPr="00DB54A7">
              <w:rPr>
                <w:rFonts w:eastAsia="Calibri"/>
                <w:lang w:eastAsia="en-US"/>
              </w:rPr>
              <w:t>Doprava</w:t>
            </w:r>
          </w:p>
        </w:tc>
        <w:tc>
          <w:tcPr>
            <w:tcW w:w="1240" w:type="pct"/>
            <w:tcBorders>
              <w:top w:val="nil"/>
              <w:left w:val="nil"/>
              <w:bottom w:val="single" w:sz="8" w:space="0" w:color="auto"/>
              <w:right w:val="single" w:sz="8" w:space="0" w:color="auto"/>
            </w:tcBorders>
            <w:tcMar>
              <w:top w:w="0" w:type="dxa"/>
              <w:left w:w="108" w:type="dxa"/>
              <w:bottom w:w="0" w:type="dxa"/>
              <w:right w:w="108" w:type="dxa"/>
            </w:tcMar>
            <w:hideMark/>
          </w:tcPr>
          <w:p w14:paraId="1E7CB190" w14:textId="77777777" w:rsidR="00DB54A7" w:rsidRPr="00DB54A7" w:rsidRDefault="00DB54A7" w:rsidP="00DB54A7">
            <w:pPr>
              <w:spacing w:line="276" w:lineRule="auto"/>
              <w:jc w:val="both"/>
              <w:rPr>
                <w:rFonts w:eastAsia="Calibri"/>
              </w:rPr>
            </w:pPr>
            <w:r w:rsidRPr="00DB54A7">
              <w:rPr>
                <w:rFonts w:eastAsia="Calibri"/>
                <w:lang w:eastAsia="en-US"/>
              </w:rPr>
              <w:t>  2 126,5</w:t>
            </w:r>
          </w:p>
        </w:tc>
        <w:tc>
          <w:tcPr>
            <w:tcW w:w="1276" w:type="pct"/>
            <w:tcBorders>
              <w:top w:val="nil"/>
              <w:left w:val="nil"/>
              <w:bottom w:val="single" w:sz="8" w:space="0" w:color="auto"/>
              <w:right w:val="single" w:sz="8" w:space="0" w:color="auto"/>
            </w:tcBorders>
            <w:tcMar>
              <w:top w:w="0" w:type="dxa"/>
              <w:left w:w="108" w:type="dxa"/>
              <w:bottom w:w="0" w:type="dxa"/>
              <w:right w:w="108" w:type="dxa"/>
            </w:tcMar>
            <w:hideMark/>
          </w:tcPr>
          <w:p w14:paraId="30B4A2E0" w14:textId="77777777" w:rsidR="00DB54A7" w:rsidRPr="00DB54A7" w:rsidRDefault="00DB54A7" w:rsidP="00DB54A7">
            <w:pPr>
              <w:spacing w:line="276" w:lineRule="auto"/>
              <w:jc w:val="both"/>
              <w:rPr>
                <w:rFonts w:eastAsia="Calibri"/>
              </w:rPr>
            </w:pPr>
            <w:r w:rsidRPr="00DB54A7">
              <w:rPr>
                <w:rFonts w:eastAsia="Calibri"/>
                <w:lang w:eastAsia="en-US"/>
              </w:rPr>
              <w:t>    2,8</w:t>
            </w:r>
          </w:p>
        </w:tc>
      </w:tr>
      <w:tr w:rsidR="00DB54A7" w:rsidRPr="00DB54A7" w14:paraId="28332E6D" w14:textId="77777777" w:rsidTr="00DB54A7">
        <w:tc>
          <w:tcPr>
            <w:tcW w:w="24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E244EB" w14:textId="77777777" w:rsidR="00DB54A7" w:rsidRPr="00DB54A7" w:rsidRDefault="00DB54A7" w:rsidP="00DB54A7">
            <w:pPr>
              <w:spacing w:line="276" w:lineRule="auto"/>
              <w:jc w:val="both"/>
              <w:rPr>
                <w:rFonts w:eastAsia="Calibri"/>
              </w:rPr>
            </w:pPr>
            <w:r w:rsidRPr="00DB54A7">
              <w:rPr>
                <w:rFonts w:eastAsia="Calibri"/>
                <w:b/>
                <w:bCs/>
                <w:lang w:eastAsia="en-US"/>
              </w:rPr>
              <w:t>Cestovný ruch</w:t>
            </w:r>
          </w:p>
        </w:tc>
        <w:tc>
          <w:tcPr>
            <w:tcW w:w="1240" w:type="pct"/>
            <w:tcBorders>
              <w:top w:val="nil"/>
              <w:left w:val="nil"/>
              <w:bottom w:val="single" w:sz="8" w:space="0" w:color="auto"/>
              <w:right w:val="single" w:sz="8" w:space="0" w:color="auto"/>
            </w:tcBorders>
            <w:tcMar>
              <w:top w:w="0" w:type="dxa"/>
              <w:left w:w="108" w:type="dxa"/>
              <w:bottom w:w="0" w:type="dxa"/>
              <w:right w:w="108" w:type="dxa"/>
            </w:tcMar>
            <w:hideMark/>
          </w:tcPr>
          <w:p w14:paraId="647AD9AA" w14:textId="77777777" w:rsidR="00DB54A7" w:rsidRPr="00DB54A7" w:rsidRDefault="00DB54A7" w:rsidP="00DB54A7">
            <w:pPr>
              <w:spacing w:line="276" w:lineRule="auto"/>
              <w:jc w:val="both"/>
              <w:rPr>
                <w:rFonts w:eastAsia="Calibri"/>
              </w:rPr>
            </w:pPr>
            <w:r w:rsidRPr="00DB54A7">
              <w:rPr>
                <w:rFonts w:eastAsia="Calibri"/>
                <w:b/>
                <w:bCs/>
                <w:lang w:eastAsia="en-US"/>
              </w:rPr>
              <w:t>  2 482,8</w:t>
            </w:r>
          </w:p>
        </w:tc>
        <w:tc>
          <w:tcPr>
            <w:tcW w:w="1276" w:type="pct"/>
            <w:tcBorders>
              <w:top w:val="nil"/>
              <w:left w:val="nil"/>
              <w:bottom w:val="single" w:sz="8" w:space="0" w:color="auto"/>
              <w:right w:val="single" w:sz="8" w:space="0" w:color="auto"/>
            </w:tcBorders>
            <w:tcMar>
              <w:top w:w="0" w:type="dxa"/>
              <w:left w:w="108" w:type="dxa"/>
              <w:bottom w:w="0" w:type="dxa"/>
              <w:right w:w="108" w:type="dxa"/>
            </w:tcMar>
            <w:hideMark/>
          </w:tcPr>
          <w:p w14:paraId="57FD36FB" w14:textId="77777777" w:rsidR="00DB54A7" w:rsidRPr="00DB54A7" w:rsidRDefault="00DB54A7" w:rsidP="00DB54A7">
            <w:pPr>
              <w:spacing w:line="276" w:lineRule="auto"/>
              <w:jc w:val="both"/>
              <w:rPr>
                <w:rFonts w:eastAsia="Calibri"/>
              </w:rPr>
            </w:pPr>
            <w:r w:rsidRPr="00DB54A7">
              <w:rPr>
                <w:rFonts w:eastAsia="Calibri"/>
                <w:b/>
                <w:bCs/>
                <w:lang w:eastAsia="en-US"/>
              </w:rPr>
              <w:t>    3,3</w:t>
            </w:r>
          </w:p>
        </w:tc>
      </w:tr>
      <w:tr w:rsidR="00DB54A7" w:rsidRPr="00DB54A7" w14:paraId="7A3B14C2" w14:textId="77777777" w:rsidTr="00DB54A7">
        <w:tc>
          <w:tcPr>
            <w:tcW w:w="24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88CD02" w14:textId="77777777" w:rsidR="00DB54A7" w:rsidRPr="00DB54A7" w:rsidRDefault="00DB54A7" w:rsidP="00DB54A7">
            <w:pPr>
              <w:spacing w:line="276" w:lineRule="auto"/>
              <w:jc w:val="both"/>
              <w:rPr>
                <w:rFonts w:eastAsia="Calibri"/>
              </w:rPr>
            </w:pPr>
            <w:r w:rsidRPr="00DB54A7">
              <w:rPr>
                <w:rFonts w:eastAsia="Calibri"/>
                <w:lang w:eastAsia="en-US"/>
              </w:rPr>
              <w:t>Ostatné služby spolu</w:t>
            </w:r>
          </w:p>
        </w:tc>
        <w:tc>
          <w:tcPr>
            <w:tcW w:w="1240" w:type="pct"/>
            <w:tcBorders>
              <w:top w:val="nil"/>
              <w:left w:val="nil"/>
              <w:bottom w:val="single" w:sz="8" w:space="0" w:color="auto"/>
              <w:right w:val="single" w:sz="8" w:space="0" w:color="auto"/>
            </w:tcBorders>
            <w:tcMar>
              <w:top w:w="0" w:type="dxa"/>
              <w:left w:w="108" w:type="dxa"/>
              <w:bottom w:w="0" w:type="dxa"/>
              <w:right w:w="108" w:type="dxa"/>
            </w:tcMar>
            <w:hideMark/>
          </w:tcPr>
          <w:p w14:paraId="712DB584" w14:textId="77777777" w:rsidR="00DB54A7" w:rsidRPr="00DB54A7" w:rsidRDefault="00DB54A7" w:rsidP="00DB54A7">
            <w:pPr>
              <w:spacing w:line="276" w:lineRule="auto"/>
              <w:jc w:val="both"/>
              <w:rPr>
                <w:rFonts w:eastAsia="Calibri"/>
              </w:rPr>
            </w:pPr>
            <w:r w:rsidRPr="00DB54A7">
              <w:rPr>
                <w:rFonts w:eastAsia="Calibri"/>
                <w:lang w:eastAsia="en-US"/>
              </w:rPr>
              <w:t>  3 070,7</w:t>
            </w:r>
          </w:p>
        </w:tc>
        <w:tc>
          <w:tcPr>
            <w:tcW w:w="1276" w:type="pct"/>
            <w:tcBorders>
              <w:top w:val="nil"/>
              <w:left w:val="nil"/>
              <w:bottom w:val="single" w:sz="8" w:space="0" w:color="auto"/>
              <w:right w:val="single" w:sz="8" w:space="0" w:color="auto"/>
            </w:tcBorders>
            <w:tcMar>
              <w:top w:w="0" w:type="dxa"/>
              <w:left w:w="108" w:type="dxa"/>
              <w:bottom w:w="0" w:type="dxa"/>
              <w:right w:w="108" w:type="dxa"/>
            </w:tcMar>
            <w:hideMark/>
          </w:tcPr>
          <w:p w14:paraId="01998976" w14:textId="77777777" w:rsidR="00DB54A7" w:rsidRPr="00DB54A7" w:rsidRDefault="00DB54A7" w:rsidP="00DB54A7">
            <w:pPr>
              <w:spacing w:line="276" w:lineRule="auto"/>
              <w:jc w:val="both"/>
              <w:rPr>
                <w:rFonts w:eastAsia="Calibri"/>
              </w:rPr>
            </w:pPr>
            <w:r w:rsidRPr="00DB54A7">
              <w:rPr>
                <w:rFonts w:eastAsia="Calibri"/>
                <w:lang w:eastAsia="en-US"/>
              </w:rPr>
              <w:t>    4,1</w:t>
            </w:r>
          </w:p>
        </w:tc>
      </w:tr>
    </w:tbl>
    <w:p w14:paraId="47984CB7" w14:textId="77777777" w:rsidR="00DB54A7" w:rsidRPr="00DB54A7" w:rsidRDefault="00DB54A7" w:rsidP="00DB54A7">
      <w:pPr>
        <w:jc w:val="both"/>
        <w:rPr>
          <w:rFonts w:eastAsia="Calibri"/>
        </w:rPr>
      </w:pPr>
      <w:r w:rsidRPr="00DB54A7">
        <w:rPr>
          <w:rFonts w:eastAsia="Calibri"/>
          <w:sz w:val="20"/>
          <w:szCs w:val="20"/>
        </w:rPr>
        <w:t>Zdroj údajov: NBS</w:t>
      </w:r>
    </w:p>
    <w:p w14:paraId="4D66BA1E" w14:textId="77777777" w:rsidR="00DB54A7" w:rsidRPr="00DB54A7" w:rsidRDefault="00DB54A7" w:rsidP="00DB54A7">
      <w:pPr>
        <w:rPr>
          <w:rFonts w:eastAsia="Calibri"/>
          <w:lang w:val="en-GB" w:eastAsia="en-US"/>
        </w:rPr>
      </w:pPr>
    </w:p>
    <w:p w14:paraId="49D32948" w14:textId="5CF494BA" w:rsidR="00E96806" w:rsidRPr="00FD068D" w:rsidRDefault="00955F14" w:rsidP="00386C66">
      <w:pPr>
        <w:pStyle w:val="Nadpis3"/>
        <w:rPr>
          <w:rFonts w:ascii="Times New Roman" w:hAnsi="Times New Roman" w:cs="Times New Roman"/>
          <w:color w:val="auto"/>
          <w:sz w:val="24"/>
        </w:rPr>
      </w:pPr>
      <w:bookmarkStart w:id="41" w:name="_Toc500503414"/>
      <w:r w:rsidRPr="00FD068D">
        <w:rPr>
          <w:rFonts w:ascii="Times New Roman" w:hAnsi="Times New Roman" w:cs="Times New Roman"/>
          <w:color w:val="auto"/>
          <w:sz w:val="24"/>
        </w:rPr>
        <w:t>3.1.</w:t>
      </w:r>
      <w:r w:rsidR="00C27F47">
        <w:rPr>
          <w:rFonts w:ascii="Times New Roman" w:hAnsi="Times New Roman" w:cs="Times New Roman"/>
          <w:color w:val="auto"/>
          <w:sz w:val="24"/>
        </w:rPr>
        <w:t>7</w:t>
      </w:r>
      <w:r w:rsidR="00E96806" w:rsidRPr="00FD068D">
        <w:rPr>
          <w:rFonts w:ascii="Times New Roman" w:hAnsi="Times New Roman" w:cs="Times New Roman"/>
          <w:color w:val="auto"/>
          <w:sz w:val="24"/>
        </w:rPr>
        <w:t xml:space="preserve"> Podiel exportu MSP</w:t>
      </w:r>
      <w:bookmarkEnd w:id="40"/>
      <w:bookmarkEnd w:id="41"/>
    </w:p>
    <w:p w14:paraId="44E398F4" w14:textId="77777777" w:rsidR="00E96806" w:rsidRPr="000C70A8" w:rsidRDefault="00E96806" w:rsidP="00E96806">
      <w:pPr>
        <w:rPr>
          <w:color w:val="FF0000"/>
        </w:rPr>
      </w:pPr>
    </w:p>
    <w:p w14:paraId="6A6FB4C3" w14:textId="77777777" w:rsidR="0004363D" w:rsidRPr="000C70A8" w:rsidRDefault="00E96806" w:rsidP="00E96806">
      <w:pPr>
        <w:jc w:val="both"/>
        <w:rPr>
          <w:b/>
        </w:rPr>
      </w:pPr>
      <w:r w:rsidRPr="000C70A8">
        <w:t xml:space="preserve">Napriek tomu, že malé a stredné podniky (MSP) poskytujú na Slovensku v podnikovej ekonomike pracovné príležitosti viac ako dvom tretinám aktívnej pracovnej sily a podieľajú sa viac ako polovicou na tvorbe pridanej hodnoty, v zahranično-obchodnej výmene Slovenska pretrváva dominantné postavenie veľkých podnikov. </w:t>
      </w:r>
      <w:r w:rsidRPr="000C70A8">
        <w:rPr>
          <w:b/>
        </w:rPr>
        <w:t>Podiel MSP na celkovom exporte</w:t>
      </w:r>
      <w:r w:rsidRPr="000C70A8">
        <w:t xml:space="preserve"> (celkový export vrátane operácií zahraničných osôb) </w:t>
      </w:r>
      <w:r w:rsidRPr="000C70A8">
        <w:rPr>
          <w:b/>
        </w:rPr>
        <w:t xml:space="preserve">dosiahol </w:t>
      </w:r>
      <w:r w:rsidR="00D548FE" w:rsidRPr="000C70A8">
        <w:rPr>
          <w:b/>
        </w:rPr>
        <w:t>25,7</w:t>
      </w:r>
      <w:r w:rsidRPr="000C70A8">
        <w:rPr>
          <w:b/>
        </w:rPr>
        <w:t xml:space="preserve"> %. </w:t>
      </w:r>
    </w:p>
    <w:p w14:paraId="5A767ACC" w14:textId="77777777" w:rsidR="0004363D" w:rsidRPr="000C70A8" w:rsidRDefault="0004363D" w:rsidP="00E96806">
      <w:pPr>
        <w:jc w:val="both"/>
        <w:rPr>
          <w:b/>
          <w:color w:val="FF0000"/>
        </w:rPr>
      </w:pPr>
    </w:p>
    <w:p w14:paraId="0E51DBC6" w14:textId="4A7977A5" w:rsidR="00E96806" w:rsidRPr="000C70A8" w:rsidRDefault="00E96806" w:rsidP="00E96806">
      <w:pPr>
        <w:jc w:val="both"/>
      </w:pPr>
      <w:r w:rsidRPr="000C70A8">
        <w:t>Uvedený podiel MSP na oproti roku 20</w:t>
      </w:r>
      <w:r w:rsidR="00D548FE" w:rsidRPr="000C70A8">
        <w:t>15</w:t>
      </w:r>
      <w:r w:rsidRPr="000C70A8">
        <w:t xml:space="preserve"> </w:t>
      </w:r>
      <w:r w:rsidR="00D548FE" w:rsidRPr="000C70A8">
        <w:t>znížil o</w:t>
      </w:r>
      <w:r w:rsidR="000A67C2" w:rsidRPr="000C70A8">
        <w:t> 0,9</w:t>
      </w:r>
      <w:r w:rsidRPr="000C70A8">
        <w:t xml:space="preserve"> p. b. V porovnaní s rokom 2011 (28,9 </w:t>
      </w:r>
      <w:r w:rsidR="00D548FE" w:rsidRPr="000C70A8">
        <w:t xml:space="preserve">%)  podiel </w:t>
      </w:r>
      <w:r w:rsidR="00CF5B63" w:rsidRPr="000C70A8">
        <w:t xml:space="preserve">MSP </w:t>
      </w:r>
      <w:r w:rsidR="00487985" w:rsidRPr="000C70A8">
        <w:t xml:space="preserve">poklesol </w:t>
      </w:r>
      <w:r w:rsidR="00D548FE" w:rsidRPr="000C70A8">
        <w:t>až o 3,2</w:t>
      </w:r>
      <w:r w:rsidRPr="000C70A8">
        <w:t xml:space="preserve"> p. b.</w:t>
      </w:r>
    </w:p>
    <w:p w14:paraId="7568F179" w14:textId="77777777" w:rsidR="00E96806" w:rsidRPr="000C70A8" w:rsidRDefault="00E96806" w:rsidP="00E96806">
      <w:pPr>
        <w:tabs>
          <w:tab w:val="left" w:pos="709"/>
          <w:tab w:val="left" w:pos="992"/>
        </w:tabs>
        <w:jc w:val="both"/>
        <w:rPr>
          <w:color w:val="FF0000"/>
        </w:rPr>
      </w:pPr>
    </w:p>
    <w:p w14:paraId="5604B826" w14:textId="231C4472" w:rsidR="00E96806" w:rsidRPr="000C70A8" w:rsidRDefault="00E96806" w:rsidP="00400F77">
      <w:pPr>
        <w:jc w:val="both"/>
      </w:pPr>
      <w:r w:rsidRPr="000C70A8">
        <w:t>Z celkového počtu aktívnych MSP (</w:t>
      </w:r>
      <w:r w:rsidR="00D548FE" w:rsidRPr="000C70A8">
        <w:t>557 122</w:t>
      </w:r>
      <w:r w:rsidRPr="000C70A8">
        <w:t xml:space="preserve">) evidovaných v Registri organizácii ŠÚ SR </w:t>
      </w:r>
      <w:r w:rsidRPr="000C70A8">
        <w:rPr>
          <w:b/>
        </w:rPr>
        <w:t>v roku 201</w:t>
      </w:r>
      <w:r w:rsidR="000B6F56" w:rsidRPr="000C70A8">
        <w:rPr>
          <w:b/>
        </w:rPr>
        <w:t>6</w:t>
      </w:r>
      <w:r w:rsidRPr="000C70A8">
        <w:rPr>
          <w:b/>
        </w:rPr>
        <w:t xml:space="preserve"> vykonávalo export tovaru </w:t>
      </w:r>
      <w:r w:rsidR="00400F77" w:rsidRPr="000C70A8">
        <w:rPr>
          <w:b/>
        </w:rPr>
        <w:t xml:space="preserve">podľa metodiky ŠÚ SR 29 973 </w:t>
      </w:r>
      <w:r w:rsidRPr="000C70A8">
        <w:rPr>
          <w:b/>
        </w:rPr>
        <w:t>MSP, čo</w:t>
      </w:r>
      <w:r w:rsidR="00400F77" w:rsidRPr="000C70A8">
        <w:rPr>
          <w:b/>
        </w:rPr>
        <w:t xml:space="preserve"> </w:t>
      </w:r>
      <w:r w:rsidRPr="000C70A8">
        <w:rPr>
          <w:b/>
        </w:rPr>
        <w:t>predstavuje</w:t>
      </w:r>
      <w:r w:rsidR="00400F77" w:rsidRPr="000C70A8">
        <w:rPr>
          <w:b/>
        </w:rPr>
        <w:t xml:space="preserve"> </w:t>
      </w:r>
      <w:r w:rsidRPr="000C70A8">
        <w:rPr>
          <w:b/>
        </w:rPr>
        <w:t>5,</w:t>
      </w:r>
      <w:r w:rsidR="00400F77" w:rsidRPr="000C70A8">
        <w:rPr>
          <w:b/>
        </w:rPr>
        <w:t>4</w:t>
      </w:r>
      <w:r w:rsidRPr="000C70A8">
        <w:rPr>
          <w:b/>
        </w:rPr>
        <w:t xml:space="preserve"> %.</w:t>
      </w:r>
      <w:r w:rsidRPr="000C70A8">
        <w:t xml:space="preserve"> V medziročnom porovnaní sa podiel exportujúcich MSP na celkovom počte MSP o</w:t>
      </w:r>
      <w:r w:rsidR="00400F77" w:rsidRPr="000C70A8">
        <w:t xml:space="preserve"> znížil o </w:t>
      </w:r>
      <w:r w:rsidRPr="000C70A8">
        <w:t>0,</w:t>
      </w:r>
      <w:r w:rsidR="00400F77" w:rsidRPr="000C70A8">
        <w:t>2</w:t>
      </w:r>
      <w:r w:rsidRPr="000C70A8">
        <w:t xml:space="preserve"> p. b. V absolútnom vyjadrení sa medziročne zvýšil počet exportujúcich MSP o </w:t>
      </w:r>
      <w:r w:rsidR="00400F77" w:rsidRPr="000C70A8">
        <w:t>478</w:t>
      </w:r>
      <w:r w:rsidRPr="000C70A8">
        <w:t xml:space="preserve"> subjektov</w:t>
      </w:r>
      <w:r w:rsidR="00400F77" w:rsidRPr="000C70A8">
        <w:t xml:space="preserve">. </w:t>
      </w:r>
      <w:r w:rsidRPr="000C70A8">
        <w:t xml:space="preserve"> </w:t>
      </w:r>
    </w:p>
    <w:p w14:paraId="0E197A20" w14:textId="77777777" w:rsidR="00400F77" w:rsidRPr="000C70A8" w:rsidRDefault="00400F77" w:rsidP="00400F77">
      <w:pPr>
        <w:jc w:val="both"/>
      </w:pPr>
    </w:p>
    <w:p w14:paraId="026EDBD2" w14:textId="77777777" w:rsidR="00E96806" w:rsidRPr="000C70A8" w:rsidRDefault="00E96806" w:rsidP="0070419B">
      <w:pPr>
        <w:jc w:val="both"/>
      </w:pPr>
      <w:r w:rsidRPr="000C70A8">
        <w:t>Teritoriálna štruktúra exportu MSP sa vyznačuje výraznou dominan</w:t>
      </w:r>
      <w:r w:rsidR="0070419B" w:rsidRPr="000C70A8">
        <w:t xml:space="preserve">ciou trhov EÚ. </w:t>
      </w:r>
      <w:r w:rsidRPr="000C70A8">
        <w:t>Z celkového exportu MSP v roku 20</w:t>
      </w:r>
      <w:r w:rsidR="0070419B" w:rsidRPr="000C70A8">
        <w:t>16</w:t>
      </w:r>
      <w:r w:rsidRPr="000C70A8">
        <w:t xml:space="preserve"> (</w:t>
      </w:r>
      <w:r w:rsidR="0070419B" w:rsidRPr="000C70A8">
        <w:t xml:space="preserve">17 977,7 </w:t>
      </w:r>
      <w:r w:rsidRPr="000C70A8">
        <w:t xml:space="preserve">mil. eur) tvoril export do krajín EÚ - 28  </w:t>
      </w:r>
      <w:r w:rsidR="0070419B" w:rsidRPr="000C70A8">
        <w:t xml:space="preserve">91,3 % </w:t>
      </w:r>
      <w:r w:rsidRPr="000C70A8">
        <w:t>% podiel (</w:t>
      </w:r>
      <w:r w:rsidR="0070419B" w:rsidRPr="000C70A8">
        <w:t xml:space="preserve">16 407,0 mil. </w:t>
      </w:r>
      <w:r w:rsidRPr="000C70A8">
        <w:t>eur), pričom export do starých č</w:t>
      </w:r>
      <w:r w:rsidR="0070419B" w:rsidRPr="000C70A8">
        <w:t xml:space="preserve">lenských krajín EÚ-15 dosiahol 48,2 </w:t>
      </w:r>
      <w:r w:rsidRPr="000C70A8">
        <w:t xml:space="preserve">% podiel a nových členských krajín EÚ-13 </w:t>
      </w:r>
      <w:r w:rsidR="0070419B" w:rsidRPr="000C70A8">
        <w:t xml:space="preserve">43,0 </w:t>
      </w:r>
      <w:r w:rsidRPr="000C70A8">
        <w:t xml:space="preserve">% podiel. Podiel exportu MSP do tretích krajín prestavoval </w:t>
      </w:r>
      <w:r w:rsidR="0070419B" w:rsidRPr="000C70A8">
        <w:t xml:space="preserve">8,7 % (1 570,6 mil. Eur), </w:t>
      </w:r>
      <w:r w:rsidRPr="000C70A8">
        <w:t xml:space="preserve">pri </w:t>
      </w:r>
      <w:r w:rsidR="0070419B" w:rsidRPr="000C70A8">
        <w:t>medziročnom poklese o 2,5 p. b.</w:t>
      </w:r>
    </w:p>
    <w:p w14:paraId="32A23F8D" w14:textId="77777777" w:rsidR="006560E3" w:rsidRPr="000C70A8" w:rsidRDefault="006560E3" w:rsidP="006560E3">
      <w:pPr>
        <w:tabs>
          <w:tab w:val="left" w:pos="709"/>
          <w:tab w:val="left" w:pos="992"/>
        </w:tabs>
        <w:jc w:val="both"/>
      </w:pPr>
    </w:p>
    <w:p w14:paraId="156CCEB4" w14:textId="6CA4409D" w:rsidR="006560E3" w:rsidRPr="000C70A8" w:rsidRDefault="006560E3" w:rsidP="006560E3">
      <w:pPr>
        <w:tabs>
          <w:tab w:val="left" w:pos="709"/>
          <w:tab w:val="left" w:pos="992"/>
        </w:tabs>
        <w:jc w:val="both"/>
      </w:pPr>
      <w:r w:rsidRPr="000C70A8">
        <w:t>Partneri siete EEN (</w:t>
      </w:r>
      <w:proofErr w:type="spellStart"/>
      <w:r w:rsidRPr="000C70A8">
        <w:t>Enterprise</w:t>
      </w:r>
      <w:proofErr w:type="spellEnd"/>
      <w:r w:rsidRPr="000C70A8">
        <w:t xml:space="preserve"> </w:t>
      </w:r>
      <w:proofErr w:type="spellStart"/>
      <w:r w:rsidRPr="000C70A8">
        <w:t>Europe</w:t>
      </w:r>
      <w:proofErr w:type="spellEnd"/>
      <w:r w:rsidRPr="000C70A8">
        <w:t xml:space="preserve"> </w:t>
      </w:r>
      <w:proofErr w:type="spellStart"/>
      <w:r w:rsidRPr="000C70A8">
        <w:t>Network</w:t>
      </w:r>
      <w:proofErr w:type="spellEnd"/>
      <w:r w:rsidRPr="000C70A8">
        <w:t>) realizovali informačné a asistenčné služby zamerané na rozvoj medzinárodnej spolupráce MSP v oblasti podnikania, inovácií a výskumu.</w:t>
      </w:r>
      <w:r w:rsidR="0017491F" w:rsidRPr="000C70A8">
        <w:t xml:space="preserve"> V roku 2016 bolo uzatvorených 3</w:t>
      </w:r>
      <w:r w:rsidRPr="000C70A8">
        <w:t>4 zmlúv o medzinárodnej s</w:t>
      </w:r>
      <w:r w:rsidR="0017491F" w:rsidRPr="000C70A8">
        <w:t>polupráci MSP, boli realizovaných 17 regionálnych podujatí</w:t>
      </w:r>
      <w:r w:rsidRPr="000C70A8">
        <w:t xml:space="preserve"> (semináre)</w:t>
      </w:r>
      <w:r w:rsidR="0017491F" w:rsidRPr="000C70A8">
        <w:t>, v rámci ktorých bolo podporených 418 subjektov</w:t>
      </w:r>
      <w:r w:rsidRPr="000C70A8">
        <w:t>.</w:t>
      </w:r>
      <w:r w:rsidR="0017491F" w:rsidRPr="000C70A8">
        <w:t xml:space="preserve"> Špecifické hĺbkové </w:t>
      </w:r>
      <w:proofErr w:type="spellStart"/>
      <w:r w:rsidR="0017491F" w:rsidRPr="000C70A8">
        <w:t>internacionalizačné</w:t>
      </w:r>
      <w:proofErr w:type="spellEnd"/>
      <w:r w:rsidR="0017491F" w:rsidRPr="000C70A8">
        <w:t xml:space="preserve"> a inovačné služby zamerané na zvyšovanie prístupu MSP k trhom a podnikanie na zahraničných trhoch boli poskytnuté 141 subjektom. Navyše, bolo zorganizovaných 41</w:t>
      </w:r>
      <w:r w:rsidRPr="000C70A8">
        <w:t xml:space="preserve">  </w:t>
      </w:r>
      <w:r w:rsidR="0017491F" w:rsidRPr="000C70A8">
        <w:t xml:space="preserve">medzinárodných </w:t>
      </w:r>
      <w:r w:rsidRPr="000C70A8">
        <w:t xml:space="preserve">kooperačných podujatí, </w:t>
      </w:r>
      <w:r w:rsidR="0017491F" w:rsidRPr="000C70A8">
        <w:t xml:space="preserve">na </w:t>
      </w:r>
      <w:r w:rsidRPr="000C70A8">
        <w:t xml:space="preserve">ktorých nadviazalo kontakt 499 MSP. Prostredníctvom databázy partnerských príležitostí bolo </w:t>
      </w:r>
      <w:r w:rsidR="0017491F" w:rsidRPr="000C70A8">
        <w:t>pripravených 69 kooperačných profilov</w:t>
      </w:r>
      <w:r w:rsidRPr="000C70A8">
        <w:t>.</w:t>
      </w:r>
    </w:p>
    <w:p w14:paraId="0A7C20DD" w14:textId="77777777" w:rsidR="00887705" w:rsidRPr="000C70A8" w:rsidRDefault="00887705" w:rsidP="00E96806">
      <w:pPr>
        <w:tabs>
          <w:tab w:val="left" w:pos="709"/>
          <w:tab w:val="left" w:pos="992"/>
        </w:tabs>
        <w:jc w:val="both"/>
        <w:rPr>
          <w:color w:val="FF0000"/>
        </w:rPr>
      </w:pPr>
    </w:p>
    <w:p w14:paraId="1AF48A23" w14:textId="23F66A68" w:rsidR="00DF14ED" w:rsidRPr="000C70A8" w:rsidRDefault="00DF14ED" w:rsidP="00DF14ED">
      <w:pPr>
        <w:jc w:val="both"/>
      </w:pPr>
      <w:r w:rsidRPr="000C70A8">
        <w:t>Veľké podniky (250 a viac zamestnancov) sa v roku 2016 podieľali na celkovom objeme exportu 62,7 %, stredné podniky (od 50 do 249 zamestnancov) 11,7 %, malé  podniky (od 10 do 50 zamestnancov) 5,4 % a </w:t>
      </w:r>
      <w:proofErr w:type="spellStart"/>
      <w:r w:rsidRPr="000C70A8">
        <w:t>mikropodniky</w:t>
      </w:r>
      <w:proofErr w:type="spellEnd"/>
      <w:r w:rsidRPr="000C70A8">
        <w:t xml:space="preserve"> (od 0 do 9 zamestnancov) 8,6 %. Zahraničnými osobami bol zabezpečovaný export v objeme 11,6 %.</w:t>
      </w:r>
    </w:p>
    <w:p w14:paraId="32641D1C" w14:textId="77777777" w:rsidR="00DF14ED" w:rsidRPr="000C70A8" w:rsidRDefault="00DF14ED" w:rsidP="00DF14ED">
      <w:pPr>
        <w:ind w:firstLine="567"/>
        <w:jc w:val="both"/>
      </w:pPr>
    </w:p>
    <w:p w14:paraId="3826EACA" w14:textId="77777777" w:rsidR="0006283F" w:rsidRDefault="0006283F" w:rsidP="00DF14ED">
      <w:pPr>
        <w:spacing w:after="120"/>
        <w:rPr>
          <w:i/>
        </w:rPr>
      </w:pPr>
    </w:p>
    <w:p w14:paraId="480A28B7" w14:textId="77777777" w:rsidR="0006283F" w:rsidRDefault="0006283F" w:rsidP="00DF14ED">
      <w:pPr>
        <w:spacing w:after="120"/>
        <w:rPr>
          <w:i/>
        </w:rPr>
      </w:pPr>
    </w:p>
    <w:p w14:paraId="48C8CC72" w14:textId="77777777" w:rsidR="0006283F" w:rsidRDefault="0006283F" w:rsidP="00DF14ED">
      <w:pPr>
        <w:spacing w:after="120"/>
        <w:rPr>
          <w:i/>
        </w:rPr>
      </w:pPr>
    </w:p>
    <w:p w14:paraId="45BD8C78" w14:textId="3A31611D" w:rsidR="00DF14ED" w:rsidRPr="000C70A8" w:rsidRDefault="00DF14ED" w:rsidP="00DF14ED">
      <w:pPr>
        <w:spacing w:after="120"/>
        <w:rPr>
          <w:i/>
        </w:rPr>
      </w:pPr>
      <w:r w:rsidRPr="000C70A8">
        <w:rPr>
          <w:i/>
        </w:rPr>
        <w:lastRenderedPageBreak/>
        <w:t>Graf č.</w:t>
      </w:r>
      <w:r w:rsidR="00646D13">
        <w:rPr>
          <w:i/>
        </w:rPr>
        <w:t>7</w:t>
      </w:r>
      <w:r w:rsidRPr="000C70A8">
        <w:rPr>
          <w:i/>
        </w:rPr>
        <w:t>: Podiel na exporte SR podľa veľkosti firiem</w:t>
      </w:r>
    </w:p>
    <w:p w14:paraId="13C2B482" w14:textId="77777777" w:rsidR="00DF14ED" w:rsidRPr="000C70A8" w:rsidRDefault="00DF14ED" w:rsidP="00DF14ED">
      <w:pPr>
        <w:spacing w:after="120"/>
        <w:rPr>
          <w:i/>
          <w:color w:val="FF0000"/>
        </w:rPr>
      </w:pPr>
      <w:r w:rsidRPr="000C70A8">
        <w:rPr>
          <w:noProof/>
        </w:rPr>
        <w:drawing>
          <wp:inline distT="0" distB="0" distL="0" distR="0" wp14:anchorId="4D4F4315" wp14:editId="74CD5172">
            <wp:extent cx="5286375" cy="3505200"/>
            <wp:effectExtent l="0" t="0" r="9525"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F939BB2" w14:textId="77777777" w:rsidR="00DF14ED" w:rsidRPr="000C70A8" w:rsidRDefault="00DF14ED" w:rsidP="00DF14ED">
      <w:pPr>
        <w:jc w:val="both"/>
        <w:rPr>
          <w:b/>
        </w:rPr>
      </w:pPr>
      <w:r w:rsidRPr="000C70A8">
        <w:rPr>
          <w:b/>
        </w:rPr>
        <w:t>Zdroj údajov: SBA (ŠÚ SR)</w:t>
      </w:r>
    </w:p>
    <w:p w14:paraId="57056805" w14:textId="77777777" w:rsidR="00887705" w:rsidRPr="000C70A8" w:rsidRDefault="00887705" w:rsidP="00E96806">
      <w:pPr>
        <w:tabs>
          <w:tab w:val="left" w:pos="709"/>
          <w:tab w:val="left" w:pos="992"/>
        </w:tabs>
        <w:jc w:val="both"/>
        <w:rPr>
          <w:color w:val="FF0000"/>
        </w:rPr>
      </w:pPr>
    </w:p>
    <w:p w14:paraId="34073D3F" w14:textId="6572307F" w:rsidR="00E96806" w:rsidRPr="000C70A8" w:rsidRDefault="00E96806" w:rsidP="00E96806">
      <w:pPr>
        <w:tabs>
          <w:tab w:val="left" w:pos="709"/>
          <w:tab w:val="left" w:pos="992"/>
        </w:tabs>
        <w:jc w:val="both"/>
      </w:pPr>
      <w:r w:rsidRPr="000C70A8">
        <w:t>Z pohľadu plnenia ukazovateľov stratégie VEV v rámci cieľa „Zvýšiť podiel exportu MSP“ dochádza k nárastu početnosti exportujúcich MSP, ako aj k nárast</w:t>
      </w:r>
      <w:r w:rsidR="0070419B" w:rsidRPr="000C70A8">
        <w:t xml:space="preserve">u celkového objemu exportu MSP, resp. k stagnácii v roku 2016. </w:t>
      </w:r>
      <w:r w:rsidRPr="000C70A8">
        <w:t>Naopak podiel exportu MSP na celkovom objeme exportu (</w:t>
      </w:r>
      <w:r w:rsidR="0070419B" w:rsidRPr="000C70A8">
        <w:t>25,7</w:t>
      </w:r>
      <w:r w:rsidR="000A67C2" w:rsidRPr="000C70A8">
        <w:t xml:space="preserve"> </w:t>
      </w:r>
      <w:r w:rsidRPr="000C70A8">
        <w:t>%) stále nedosahuje úroveň z východiskového roku 2011 (28,9 %).</w:t>
      </w:r>
    </w:p>
    <w:p w14:paraId="4C154155" w14:textId="77777777" w:rsidR="00E96806" w:rsidRPr="000C70A8" w:rsidRDefault="00E96806"/>
    <w:p w14:paraId="2E1F979A" w14:textId="77777777" w:rsidR="00AB20B6" w:rsidRPr="000C70A8" w:rsidRDefault="00E96806" w:rsidP="00CF5B63">
      <w:pPr>
        <w:autoSpaceDE w:val="0"/>
        <w:autoSpaceDN w:val="0"/>
        <w:adjustRightInd w:val="0"/>
        <w:jc w:val="both"/>
      </w:pPr>
      <w:r w:rsidRPr="000C70A8">
        <w:rPr>
          <w:b/>
          <w:i/>
        </w:rPr>
        <w:t>V roku 20</w:t>
      </w:r>
      <w:r w:rsidR="0070419B" w:rsidRPr="000C70A8">
        <w:rPr>
          <w:b/>
          <w:i/>
        </w:rPr>
        <w:t>16</w:t>
      </w:r>
      <w:r w:rsidRPr="000C70A8">
        <w:rPr>
          <w:b/>
          <w:i/>
        </w:rPr>
        <w:t xml:space="preserve"> bol v porovnaní s rokom 20</w:t>
      </w:r>
      <w:r w:rsidR="0070419B" w:rsidRPr="000C70A8">
        <w:rPr>
          <w:b/>
          <w:i/>
        </w:rPr>
        <w:t>15</w:t>
      </w:r>
      <w:r w:rsidRPr="000C70A8">
        <w:rPr>
          <w:b/>
          <w:i/>
        </w:rPr>
        <w:t xml:space="preserve"> zaznamenaný </w:t>
      </w:r>
      <w:r w:rsidR="0070419B" w:rsidRPr="000C70A8">
        <w:rPr>
          <w:b/>
          <w:i/>
        </w:rPr>
        <w:t xml:space="preserve">pokles </w:t>
      </w:r>
      <w:r w:rsidRPr="000C70A8">
        <w:rPr>
          <w:b/>
          <w:i/>
        </w:rPr>
        <w:t xml:space="preserve">podielu </w:t>
      </w:r>
      <w:r w:rsidR="00AB20B6" w:rsidRPr="000C70A8">
        <w:rPr>
          <w:b/>
          <w:i/>
        </w:rPr>
        <w:t xml:space="preserve">MSP </w:t>
      </w:r>
      <w:r w:rsidR="00AB20B6" w:rsidRPr="000C70A8">
        <w:rPr>
          <w:b/>
          <w:i/>
        </w:rPr>
        <w:br/>
        <w:t xml:space="preserve">na celkovom objeme exportu. Objem exportu MSP sa </w:t>
      </w:r>
      <w:r w:rsidRPr="000C70A8">
        <w:rPr>
          <w:b/>
          <w:i/>
        </w:rPr>
        <w:t>v absolútnych číslach</w:t>
      </w:r>
      <w:r w:rsidR="00AB20B6" w:rsidRPr="000C70A8">
        <w:rPr>
          <w:b/>
          <w:i/>
        </w:rPr>
        <w:t xml:space="preserve"> takmer nezmenil. Počet exportujúcich MSP sa naopak zvýšil.</w:t>
      </w:r>
    </w:p>
    <w:p w14:paraId="0D07B382" w14:textId="5A5814B1" w:rsidR="00E96806" w:rsidRPr="000C70A8" w:rsidRDefault="00AB20B6" w:rsidP="00AB20B6">
      <w:pPr>
        <w:autoSpaceDE w:val="0"/>
        <w:autoSpaceDN w:val="0"/>
        <w:adjustRightInd w:val="0"/>
        <w:ind w:left="425"/>
        <w:jc w:val="both"/>
        <w:rPr>
          <w:color w:val="FF0000"/>
        </w:rPr>
      </w:pPr>
      <w:r w:rsidRPr="000C70A8">
        <w:rPr>
          <w:b/>
          <w:i/>
        </w:rPr>
        <w:t xml:space="preserve"> </w:t>
      </w:r>
      <w:r w:rsidR="00E96806" w:rsidRPr="000C70A8">
        <w:rPr>
          <w:b/>
          <w:i/>
        </w:rPr>
        <w:t xml:space="preserve"> </w:t>
      </w:r>
    </w:p>
    <w:p w14:paraId="7B7E3D6B" w14:textId="77777777" w:rsidR="00B02937" w:rsidRPr="000C70A8" w:rsidRDefault="00E96806" w:rsidP="00487985">
      <w:pPr>
        <w:jc w:val="both"/>
      </w:pPr>
      <w:r w:rsidRPr="000C70A8">
        <w:t>Priaznivé ekonomické podmienky roku 20</w:t>
      </w:r>
      <w:r w:rsidR="00AB20B6" w:rsidRPr="000C70A8">
        <w:t>16</w:t>
      </w:r>
      <w:r w:rsidRPr="000C70A8">
        <w:t xml:space="preserve"> </w:t>
      </w:r>
      <w:r w:rsidR="00AB20B6" w:rsidRPr="000C70A8">
        <w:t xml:space="preserve">sa v dostatočnej miere neprejavili v zahranično-obchodných aktivitách MSP. Objem vývozu MSP na trhy EÚ sa medziročne zvýšil, ale pokles zaznamenal export MSP na trhy mimo EÚ. </w:t>
      </w:r>
      <w:r w:rsidR="00B02937" w:rsidRPr="000C70A8">
        <w:t xml:space="preserve">Pokles dosiahol v roku 2016 aj podiel MSP na celkovom objeme exportu, pričom oproti roku 2011 sa uvedený podiel znížil o 3,2 p. b. </w:t>
      </w:r>
    </w:p>
    <w:p w14:paraId="35071EBE" w14:textId="77777777" w:rsidR="00B02937" w:rsidRPr="000C70A8" w:rsidRDefault="00B02937" w:rsidP="00B02937"/>
    <w:p w14:paraId="6D333603" w14:textId="77777777" w:rsidR="00B02937" w:rsidRPr="000C70A8" w:rsidRDefault="00B02937" w:rsidP="00B02937">
      <w:r w:rsidRPr="000C70A8">
        <w:t xml:space="preserve">Pozitívny vývoj zaznamenala v roku 2016 početnosť exportujúcich MSP. Z celkového počtu MSP však exportuje len každý dvadsiaty subjekt. </w:t>
      </w:r>
    </w:p>
    <w:p w14:paraId="60AC0CDF" w14:textId="77777777" w:rsidR="00AB20B6" w:rsidRPr="000C70A8" w:rsidRDefault="00AB20B6" w:rsidP="00E96806">
      <w:pPr>
        <w:autoSpaceDE w:val="0"/>
        <w:autoSpaceDN w:val="0"/>
        <w:adjustRightInd w:val="0"/>
        <w:jc w:val="both"/>
        <w:rPr>
          <w:color w:val="FF0000"/>
        </w:rPr>
      </w:pPr>
    </w:p>
    <w:p w14:paraId="4376A38C" w14:textId="77777777" w:rsidR="00487985" w:rsidRDefault="00487985" w:rsidP="00487985">
      <w:pPr>
        <w:jc w:val="both"/>
      </w:pPr>
      <w:r w:rsidRPr="000C70A8">
        <w:t xml:space="preserve">Podľa prieskumu exportných ašpirácií MSP, ktorý zrealizovala SBA, slovenským malým a stredným podnikateľom v súčasnosti chýba najmä finančná (39,4 %) a informačná (33,2 %) forma podpory ich exportných aktivít. Chýbajúce poradenstvo pri zahranično-obchodných aktivitách uviedlo v prieskume 26,2 % MSP a viac propagačných aktivít v rámci podpory exportu by privítalo 24,6 % MSP. </w:t>
      </w:r>
    </w:p>
    <w:p w14:paraId="39FE5334" w14:textId="77777777" w:rsidR="00F575CB" w:rsidRDefault="00F575CB" w:rsidP="00487985">
      <w:pPr>
        <w:jc w:val="both"/>
      </w:pPr>
    </w:p>
    <w:p w14:paraId="001EBDFF" w14:textId="77777777" w:rsidR="0006283F" w:rsidRDefault="0006283F" w:rsidP="00487985">
      <w:pPr>
        <w:jc w:val="both"/>
      </w:pPr>
    </w:p>
    <w:p w14:paraId="366B7E22" w14:textId="77777777" w:rsidR="0006283F" w:rsidRDefault="0006283F" w:rsidP="00487985">
      <w:pPr>
        <w:jc w:val="both"/>
      </w:pPr>
    </w:p>
    <w:p w14:paraId="3BD9AC64" w14:textId="7DACD6AF" w:rsidR="00F575CB" w:rsidRPr="00AD4B48" w:rsidRDefault="00F575CB" w:rsidP="00F575CB">
      <w:pPr>
        <w:keepNext/>
        <w:keepLines/>
        <w:spacing w:before="200"/>
        <w:contextualSpacing/>
        <w:jc w:val="both"/>
        <w:outlineLvl w:val="1"/>
        <w:rPr>
          <w:rFonts w:eastAsiaTheme="majorEastAsia"/>
          <w:b/>
          <w:bCs/>
        </w:rPr>
      </w:pPr>
      <w:bookmarkStart w:id="42" w:name="_Toc500503415"/>
      <w:r w:rsidRPr="00AD4B48">
        <w:rPr>
          <w:rFonts w:eastAsiaTheme="majorEastAsia"/>
          <w:b/>
          <w:bCs/>
        </w:rPr>
        <w:lastRenderedPageBreak/>
        <w:t>3.1.</w:t>
      </w:r>
      <w:r w:rsidR="00C27F47">
        <w:rPr>
          <w:rFonts w:eastAsiaTheme="majorEastAsia"/>
          <w:b/>
          <w:bCs/>
        </w:rPr>
        <w:t>8</w:t>
      </w:r>
      <w:r w:rsidRPr="00AD4B48">
        <w:rPr>
          <w:rFonts w:eastAsiaTheme="majorEastAsia"/>
          <w:b/>
          <w:bCs/>
        </w:rPr>
        <w:t xml:space="preserve"> Zabezpečenie stabilných dodávok strategických tovarov</w:t>
      </w:r>
      <w:bookmarkEnd w:id="42"/>
    </w:p>
    <w:p w14:paraId="28B73F23" w14:textId="77777777" w:rsidR="00F575CB" w:rsidRPr="00AD4B48" w:rsidRDefault="00F575CB" w:rsidP="00F575CB">
      <w:pPr>
        <w:contextualSpacing/>
        <w:jc w:val="both"/>
        <w:rPr>
          <w:color w:val="000000" w:themeColor="text1"/>
        </w:rPr>
      </w:pPr>
    </w:p>
    <w:p w14:paraId="18FDEE25" w14:textId="77777777" w:rsidR="00F575CB" w:rsidRPr="0038339D" w:rsidRDefault="00F575CB" w:rsidP="00F575CB">
      <w:pPr>
        <w:contextualSpacing/>
        <w:jc w:val="both"/>
        <w:rPr>
          <w:color w:val="000000" w:themeColor="text1"/>
        </w:rPr>
      </w:pPr>
      <w:r w:rsidRPr="0038339D">
        <w:rPr>
          <w:color w:val="000000" w:themeColor="text1"/>
        </w:rPr>
        <w:t xml:space="preserve">Opatrenia smerujúce k zabezpečeniu stabilných dodávok strategických tovarov, ktorými sú predovšetkým energetické suroviny a opatrenia na diverzifikáciu ich dodávok, sú definované v Energetickej politike SR, ktorá bola schválená na rokovaní vlády </w:t>
      </w:r>
      <w:r w:rsidRPr="0038339D">
        <w:t>SR dňa 5.11.2014.</w:t>
      </w:r>
    </w:p>
    <w:p w14:paraId="60A5BF68" w14:textId="77777777" w:rsidR="00F575CB" w:rsidRPr="0038339D" w:rsidRDefault="00F575CB" w:rsidP="00F575CB">
      <w:pPr>
        <w:ind w:firstLine="708"/>
        <w:contextualSpacing/>
        <w:jc w:val="both"/>
      </w:pPr>
    </w:p>
    <w:p w14:paraId="51ACDAF0" w14:textId="54D2B56B" w:rsidR="00F575CB" w:rsidRPr="0038339D" w:rsidRDefault="00F575CB" w:rsidP="00F575CB">
      <w:pPr>
        <w:contextualSpacing/>
        <w:jc w:val="both"/>
      </w:pPr>
      <w:r w:rsidRPr="0038339D">
        <w:rPr>
          <w:b/>
        </w:rPr>
        <w:t xml:space="preserve">Aj v roku 2016 sa naďalej venovala mimoriadna pozornosť rozvoju vzájomných prepojení ropovodných sietí medzi krajinami EÚ s cieľom zvýšenia stability ekonomiky celej EÚ. </w:t>
      </w:r>
      <w:r w:rsidRPr="0038339D">
        <w:t xml:space="preserve">Ministerstvo hospodárstva SR (MH SR) v súčinnosti s príslušnými organizáciami </w:t>
      </w:r>
      <w:r w:rsidR="0006283F">
        <w:br/>
      </w:r>
      <w:r w:rsidRPr="0038339D">
        <w:t>v jeho pôsobnosti aktívne pracovalo na implementácií tzv. projektov spoločného záujmu EÚ (PCI</w:t>
      </w:r>
      <w:r w:rsidRPr="0038339D">
        <w:rPr>
          <w:vertAlign w:val="superscript"/>
        </w:rPr>
        <w:footnoteReference w:id="1"/>
      </w:r>
      <w:r w:rsidRPr="0038339D">
        <w:t xml:space="preserve">) v plyne, </w:t>
      </w:r>
      <w:proofErr w:type="spellStart"/>
      <w:r w:rsidRPr="0038339D">
        <w:t>elektroenergetike</w:t>
      </w:r>
      <w:proofErr w:type="spellEnd"/>
      <w:r w:rsidRPr="0038339D">
        <w:t xml:space="preserve"> a v rope. </w:t>
      </w:r>
    </w:p>
    <w:p w14:paraId="6F580113" w14:textId="77777777" w:rsidR="00F575CB" w:rsidRPr="0038339D" w:rsidRDefault="00F575CB" w:rsidP="00F575CB">
      <w:pPr>
        <w:contextualSpacing/>
        <w:jc w:val="both"/>
      </w:pPr>
    </w:p>
    <w:p w14:paraId="1E2E3894" w14:textId="3286B4A5" w:rsidR="00F575CB" w:rsidRPr="0038339D" w:rsidRDefault="00F575CB" w:rsidP="00F575CB">
      <w:pPr>
        <w:contextualSpacing/>
        <w:jc w:val="both"/>
      </w:pPr>
      <w:r w:rsidRPr="0038339D">
        <w:t>Výsledkom v oblasti ropy je zaradenie navrhovaného projektu prioritného koridoru v regióne strednej a východnej Európy a to projektu ropovodu BSP (</w:t>
      </w:r>
      <w:r w:rsidRPr="0038339D">
        <w:rPr>
          <w:b/>
        </w:rPr>
        <w:t xml:space="preserve">ropovodné prepojenie Bratislava - </w:t>
      </w:r>
      <w:proofErr w:type="spellStart"/>
      <w:r w:rsidRPr="0038339D">
        <w:rPr>
          <w:b/>
        </w:rPr>
        <w:t>Schwechat</w:t>
      </w:r>
      <w:proofErr w:type="spellEnd"/>
      <w:r w:rsidRPr="0038339D">
        <w:t xml:space="preserve">) medzi strategické projekty EÚ. Uvedené prepojenie bolo po dvojročnom období opätovne posudzované a následne schválené Európskou komisiou v rámci PCI „Delegovaným nariadením Komisie (EÚ) č. 2016/89 zo dňa 18. novembra 2015, ktorým sa mení nariadenie Európskeho parlamentu a Rady (EÚ) č. 347/2013 o usmerneniach pre </w:t>
      </w:r>
      <w:proofErr w:type="spellStart"/>
      <w:r w:rsidRPr="0038339D">
        <w:t>transeurópsku</w:t>
      </w:r>
      <w:proofErr w:type="spellEnd"/>
      <w:r w:rsidRPr="0038339D">
        <w:t xml:space="preserve"> energetickú infraštruktúru, ktorým sa zrušuje rozhodnutie č. 1364/2006/ES </w:t>
      </w:r>
      <w:r w:rsidR="0006283F">
        <w:br/>
      </w:r>
      <w:r w:rsidRPr="0038339D">
        <w:t xml:space="preserve">a menia a dopĺňajú nariadenia (ES) č. 713/2009, (ES) č. 714/2009 a (ES) č. 715/2009. </w:t>
      </w:r>
    </w:p>
    <w:p w14:paraId="74CCF18F" w14:textId="77777777" w:rsidR="0006283F" w:rsidRDefault="0006283F" w:rsidP="00F575CB">
      <w:pPr>
        <w:contextualSpacing/>
        <w:jc w:val="both"/>
      </w:pPr>
    </w:p>
    <w:p w14:paraId="6E3D5736" w14:textId="755BF00F" w:rsidR="00F575CB" w:rsidRPr="0038339D" w:rsidRDefault="00F575CB" w:rsidP="00F575CB">
      <w:pPr>
        <w:contextualSpacing/>
        <w:jc w:val="both"/>
      </w:pPr>
      <w:r w:rsidRPr="0038339D">
        <w:t xml:space="preserve">Po rekonštrukcii bol dňa 9.2.2015 uvedený do prevádzky </w:t>
      </w:r>
      <w:r w:rsidRPr="000740C2">
        <w:rPr>
          <w:b/>
        </w:rPr>
        <w:t xml:space="preserve">ropovod </w:t>
      </w:r>
      <w:proofErr w:type="spellStart"/>
      <w:r w:rsidRPr="000740C2">
        <w:rPr>
          <w:b/>
        </w:rPr>
        <w:t>Adria</w:t>
      </w:r>
      <w:proofErr w:type="spellEnd"/>
      <w:r w:rsidRPr="000740C2">
        <w:rPr>
          <w:b/>
        </w:rPr>
        <w:t xml:space="preserve"> - </w:t>
      </w:r>
      <w:proofErr w:type="spellStart"/>
      <w:r w:rsidRPr="000740C2">
        <w:rPr>
          <w:b/>
        </w:rPr>
        <w:t>Friendship</w:t>
      </w:r>
      <w:proofErr w:type="spellEnd"/>
      <w:r w:rsidRPr="000740C2">
        <w:rPr>
          <w:b/>
        </w:rPr>
        <w:t xml:space="preserve"> I</w:t>
      </w:r>
      <w:r w:rsidRPr="0038339D">
        <w:t xml:space="preserve">, ktorý zabezpečí navýšenie pôvodnej kapacity na takmer dvojnásobok, t.j. na 6 mil. ton ropy ročne. Spoločnosť SLOVNAFT, a.s. v uplynulom roku realizovala po prvý raz príjem </w:t>
      </w:r>
      <w:r w:rsidR="0006283F">
        <w:br/>
      </w:r>
      <w:r w:rsidRPr="0038339D">
        <w:t>a spracovanie inej ako doteraz spracovávanej ruskej ropy REBCO (</w:t>
      </w:r>
      <w:proofErr w:type="spellStart"/>
      <w:r w:rsidRPr="0038339D">
        <w:t>Russian</w:t>
      </w:r>
      <w:proofErr w:type="spellEnd"/>
      <w:r w:rsidRPr="0038339D">
        <w:t xml:space="preserve"> Export </w:t>
      </w:r>
      <w:proofErr w:type="spellStart"/>
      <w:r w:rsidRPr="0038339D">
        <w:t>Blend</w:t>
      </w:r>
      <w:proofErr w:type="spellEnd"/>
      <w:r w:rsidRPr="0038339D">
        <w:t xml:space="preserve"> </w:t>
      </w:r>
      <w:proofErr w:type="spellStart"/>
      <w:r w:rsidRPr="0038339D">
        <w:t>Crude</w:t>
      </w:r>
      <w:proofErr w:type="spellEnd"/>
      <w:r w:rsidRPr="0038339D">
        <w:t xml:space="preserve"> </w:t>
      </w:r>
      <w:proofErr w:type="spellStart"/>
      <w:r w:rsidRPr="0038339D">
        <w:t>Oil</w:t>
      </w:r>
      <w:proofErr w:type="spellEnd"/>
      <w:r w:rsidRPr="0038339D">
        <w:t>) cez ropovod ADRIA.</w:t>
      </w:r>
    </w:p>
    <w:p w14:paraId="42479D77" w14:textId="77777777" w:rsidR="00F575CB" w:rsidRPr="0038339D" w:rsidRDefault="00F575CB" w:rsidP="00F575CB">
      <w:pPr>
        <w:contextualSpacing/>
        <w:jc w:val="both"/>
      </w:pPr>
    </w:p>
    <w:p w14:paraId="5070B8D1" w14:textId="47DF319F" w:rsidR="00F575CB" w:rsidRPr="0038339D" w:rsidRDefault="00F575CB" w:rsidP="00F575CB">
      <w:pPr>
        <w:contextualSpacing/>
        <w:jc w:val="both"/>
      </w:pPr>
      <w:r w:rsidRPr="0038339D">
        <w:t xml:space="preserve">V oblasti plynárenstva bol rozvíjaný projekt </w:t>
      </w:r>
      <w:r w:rsidRPr="0038339D">
        <w:rPr>
          <w:b/>
        </w:rPr>
        <w:t>slovensko-poľského plynárenského prepojenia</w:t>
      </w:r>
      <w:r w:rsidRPr="0038339D">
        <w:t xml:space="preserve">, ktorý patrí do tzv. Severojužného plynárenského koridoru a prepojí kompresorovú stanicu Veľké Kapušany s južným Poľskom, čím zabezpečí Slovensku prístup na LNG terminál vo </w:t>
      </w:r>
      <w:proofErr w:type="spellStart"/>
      <w:r w:rsidRPr="0038339D">
        <w:t>Świnoujście</w:t>
      </w:r>
      <w:proofErr w:type="spellEnd"/>
      <w:r w:rsidRPr="0038339D">
        <w:t xml:space="preserve"> na severe Poľska a k prípadným budúcim zdrojom bridlicového plynu, čo bude pre Slovensko a Poľsko znamenať diverzifikáciu dodávok. </w:t>
      </w:r>
      <w:r>
        <w:t xml:space="preserve">         </w:t>
      </w:r>
      <w:r w:rsidRPr="0038339D">
        <w:t>V novembri 2016 sa realizátori projektu prihlásil do výzvy CEF Energetika na získanie finančných prostri</w:t>
      </w:r>
      <w:r>
        <w:t>edkov na práce v celkovej výške</w:t>
      </w:r>
      <w:r w:rsidRPr="0038339D">
        <w:t xml:space="preserve"> 134 676 430 eur, čo predstavuje spolufinancovanie na projekte vo výške 50%. Vo februári 2017 bol projektu udelený grant </w:t>
      </w:r>
      <w:r w:rsidR="0006283F">
        <w:br/>
      </w:r>
      <w:r w:rsidRPr="0038339D">
        <w:t xml:space="preserve">z finančného nástroja CEF Energetika na konštrukčné práce vo výške 107 741 144 eur, čo predstavuje spolufinancovanie na projekte vo výške 40%. Ide o najvyššiu sumu pridelenú </w:t>
      </w:r>
      <w:r w:rsidR="0006283F">
        <w:br/>
      </w:r>
      <w:r w:rsidRPr="0038339D">
        <w:t xml:space="preserve">v rámci druhej výzvy CEF Energetika v roku 2016. V decembri 2016 podala spoločnosť </w:t>
      </w:r>
      <w:proofErr w:type="spellStart"/>
      <w:r w:rsidRPr="0038339D">
        <w:t>eustream</w:t>
      </w:r>
      <w:proofErr w:type="spellEnd"/>
      <w:r w:rsidRPr="0038339D">
        <w:t>, a.s., realizátor projektu na slovenskej strane, žiadosť o začatie územného konania pre projekt slovensko-poľského prepojenia.</w:t>
      </w:r>
    </w:p>
    <w:p w14:paraId="0F6F1AEC" w14:textId="77777777" w:rsidR="00F575CB" w:rsidRPr="0038339D" w:rsidRDefault="00F575CB" w:rsidP="00F575CB">
      <w:pPr>
        <w:contextualSpacing/>
        <w:jc w:val="both"/>
      </w:pPr>
    </w:p>
    <w:p w14:paraId="34687FEA" w14:textId="77777777" w:rsidR="00F575CB" w:rsidRPr="0038339D" w:rsidRDefault="00F575CB" w:rsidP="00F575CB">
      <w:pPr>
        <w:spacing w:after="120"/>
        <w:contextualSpacing/>
        <w:jc w:val="both"/>
      </w:pPr>
      <w:proofErr w:type="spellStart"/>
      <w:r w:rsidRPr="0038339D">
        <w:rPr>
          <w:b/>
        </w:rPr>
        <w:t>Eastring</w:t>
      </w:r>
      <w:proofErr w:type="spellEnd"/>
      <w:r w:rsidRPr="0038339D">
        <w:rPr>
          <w:b/>
        </w:rPr>
        <w:t xml:space="preserve"> </w:t>
      </w:r>
      <w:r w:rsidRPr="0038339D">
        <w:t xml:space="preserve">je spoločným projektom obojsmerného plynového prepojenia medzi  Rumunskom, Bulharskom, Maďarskom a Slovenskom s predpokladanou kapacitou v rozsahu 20 – 40 mld. m3/ročne. V roku 2016 pokračovalo MH SR v podpore projektu bilaterálnou aj multilaterálnou formou. V júni 2016 bolo podpísané Memorandum o spolupráci pri výstavbe plynovodu </w:t>
      </w:r>
      <w:proofErr w:type="spellStart"/>
      <w:r w:rsidRPr="0038339D">
        <w:t>Eastring</w:t>
      </w:r>
      <w:proofErr w:type="spellEnd"/>
      <w:r w:rsidRPr="0038339D">
        <w:t xml:space="preserve"> medzi slovenským a bulharským prevádzkovateľom prepravnej siete (</w:t>
      </w:r>
      <w:proofErr w:type="spellStart"/>
      <w:r w:rsidRPr="0038339D">
        <w:t>eustream</w:t>
      </w:r>
      <w:proofErr w:type="spellEnd"/>
      <w:r w:rsidRPr="0038339D">
        <w:t xml:space="preserve"> a BULGARTRANSGAZ). V júli 2016 bolo Memorandum o spolupráci v súvislosti s plynovodom </w:t>
      </w:r>
      <w:proofErr w:type="spellStart"/>
      <w:r w:rsidRPr="0038339D">
        <w:t>Eastring</w:t>
      </w:r>
      <w:proofErr w:type="spellEnd"/>
      <w:r w:rsidRPr="0038339D">
        <w:t xml:space="preserve"> podpísané aj na úrovni politickej – medzi slovenským ministrom </w:t>
      </w:r>
      <w:r w:rsidRPr="0038339D">
        <w:lastRenderedPageBreak/>
        <w:t xml:space="preserve">hospodárstva a bulharským štátnym tajomníkom ministerstva energetiky. Ku dňu </w:t>
      </w:r>
      <w:r>
        <w:t xml:space="preserve">                 </w:t>
      </w:r>
      <w:r w:rsidRPr="0038339D">
        <w:t xml:space="preserve">08. novembra 2016 spoločnosť </w:t>
      </w:r>
      <w:proofErr w:type="spellStart"/>
      <w:r w:rsidRPr="0038339D">
        <w:t>eustream</w:t>
      </w:r>
      <w:proofErr w:type="spellEnd"/>
      <w:r w:rsidRPr="0038339D">
        <w:t xml:space="preserve">, a.s., realizátor projektu, zaslala žiadosť do agentúry INEA o finančné prostriedky z finančného mechanizmu CEF – Energetika vo výške 1 mil. eur. Táto suma by mala byť použitá na štúdiu uskutočniteľnosti a predstavuje spolufinancovanie z fondov EÚ vo výške 50 %. V februári 2017 bol projektu </w:t>
      </w:r>
      <w:proofErr w:type="spellStart"/>
      <w:r w:rsidRPr="0038339D">
        <w:t>Eastring</w:t>
      </w:r>
      <w:proofErr w:type="spellEnd"/>
      <w:r w:rsidRPr="0038339D">
        <w:t xml:space="preserve"> pridelený grant vo výške 1 mil. eur na uskutočnenie štúdie realizovateľnosti.</w:t>
      </w:r>
    </w:p>
    <w:p w14:paraId="280005FB" w14:textId="77777777" w:rsidR="00F575CB" w:rsidRPr="0038339D" w:rsidRDefault="00F575CB" w:rsidP="00F575CB">
      <w:pPr>
        <w:spacing w:after="120"/>
        <w:contextualSpacing/>
        <w:jc w:val="both"/>
      </w:pPr>
    </w:p>
    <w:p w14:paraId="23F23D16" w14:textId="587F871D" w:rsidR="00F575CB" w:rsidRPr="0038339D" w:rsidRDefault="00F575CB" w:rsidP="00F575CB">
      <w:pPr>
        <w:spacing w:after="120"/>
        <w:contextualSpacing/>
        <w:jc w:val="both"/>
      </w:pPr>
      <w:r w:rsidRPr="0038339D">
        <w:t xml:space="preserve">SR spolupracuje v oblasti rozvoja energetickej bezpečnosti regiónu v oblasti plynu </w:t>
      </w:r>
      <w:r w:rsidR="0006283F">
        <w:br/>
      </w:r>
      <w:r w:rsidRPr="0038339D">
        <w:t xml:space="preserve">s krajinami V4 ako aj s ostatnými krajinami v regióne, ako je napr. Rakúsko, ale aj Chorvátsko a Rumunsko. Na základe tejto dlhodobej spolupráce je SR zapojená do všetkých významných projektov zásobovania plynom v regióne. Príkladom je </w:t>
      </w:r>
      <w:proofErr w:type="spellStart"/>
      <w:r w:rsidRPr="0038339D">
        <w:t>severo-južný</w:t>
      </w:r>
      <w:proofErr w:type="spellEnd"/>
      <w:r w:rsidRPr="0038339D">
        <w:t xml:space="preserve"> plynárenský koridor, spájajúci LNG terminály v Chorvátsku a Poľsku a prechádzajúci cez všetky krajiny V4. Projekty tohto koridoru získali štatút projektov spoločného záujmu podľa príslušného nariadenia EÚ. </w:t>
      </w:r>
    </w:p>
    <w:p w14:paraId="1F1E32BC" w14:textId="77777777" w:rsidR="00F575CB" w:rsidRPr="0038339D" w:rsidRDefault="00F575CB" w:rsidP="00F575CB">
      <w:pPr>
        <w:spacing w:after="120"/>
        <w:contextualSpacing/>
        <w:jc w:val="both"/>
      </w:pPr>
    </w:p>
    <w:p w14:paraId="648D238C" w14:textId="77777777" w:rsidR="00F575CB" w:rsidRPr="0038339D" w:rsidRDefault="00F575CB" w:rsidP="00F575CB">
      <w:pPr>
        <w:spacing w:after="120"/>
        <w:contextualSpacing/>
        <w:jc w:val="both"/>
      </w:pPr>
      <w:r w:rsidRPr="0038339D">
        <w:t>Súčasťou koridoru je aj prepojenie sietí Maďarska a Slovenska. Umožňuje napojenie SR na budúce trasy v južnej Európe a štátom na juh od SR poskytuje možnosť diverzifikácie prepravnej trasy smerom zo severu. Prepojenie zo SR smerom na sever bude prostredníctvom slovensko-poľského prepojenia, ktorého realizácia je podporená medzivládnou dohodou medzi obidvoma krajinami.</w:t>
      </w:r>
    </w:p>
    <w:p w14:paraId="1599961E" w14:textId="77777777" w:rsidR="00F575CB" w:rsidRPr="0038339D" w:rsidRDefault="00F575CB" w:rsidP="00F575CB">
      <w:pPr>
        <w:spacing w:after="120"/>
        <w:contextualSpacing/>
        <w:jc w:val="both"/>
      </w:pPr>
    </w:p>
    <w:p w14:paraId="4020B1B9" w14:textId="77777777" w:rsidR="00F575CB" w:rsidRPr="0038339D" w:rsidRDefault="00F575CB" w:rsidP="00F575CB">
      <w:pPr>
        <w:spacing w:after="120"/>
        <w:contextualSpacing/>
        <w:jc w:val="both"/>
      </w:pPr>
      <w:r w:rsidRPr="0038339D">
        <w:t>Dlhodobé zmluvy na dodávku plynu SR naďalej považuje za jeden z významných nástrojov bezpečnosti dodávok. Uzatváranie samotných kontraktov v rámci plne liberalizovaného trhu sa aktuálne uskutočňuje na úrovni príslušných dodávateľov plynu. SR je pripravená v rámci svojich možností vyhodnocovať alternatívy, ktoré boli navrhnuté v rámci Európskej stratégie energetickej bezpečnosti.</w:t>
      </w:r>
    </w:p>
    <w:p w14:paraId="414EE238" w14:textId="77777777" w:rsidR="00F575CB" w:rsidRPr="0038339D" w:rsidRDefault="00F575CB" w:rsidP="00F575CB">
      <w:pPr>
        <w:spacing w:after="120"/>
        <w:contextualSpacing/>
        <w:jc w:val="both"/>
      </w:pPr>
    </w:p>
    <w:p w14:paraId="0A495A49" w14:textId="77777777" w:rsidR="00F575CB" w:rsidRPr="0038339D" w:rsidRDefault="00F575CB" w:rsidP="00F575CB">
      <w:pPr>
        <w:jc w:val="both"/>
      </w:pPr>
      <w:r w:rsidRPr="0038339D">
        <w:t xml:space="preserve">Cieľ „zabezpečenie stabilných dodávok strategických tovarov“ považujeme za opodstatnené ponechať medzi obchodno-politickými cieľmi stratégie VEV aj pre obdobie 2018-2020, pretože SR je takmer na 90 % závislá na dovoze primárnych energetických zdrojov. </w:t>
      </w:r>
    </w:p>
    <w:p w14:paraId="3B195120" w14:textId="77777777" w:rsidR="00F575CB" w:rsidRPr="0038339D" w:rsidRDefault="00F575CB" w:rsidP="00F575CB">
      <w:pPr>
        <w:spacing w:after="120"/>
        <w:contextualSpacing/>
        <w:jc w:val="both"/>
      </w:pPr>
    </w:p>
    <w:p w14:paraId="57E5FEE4" w14:textId="328AC7CA" w:rsidR="00A477BC" w:rsidRPr="00C47EB6" w:rsidRDefault="00A477BC" w:rsidP="00A477BC">
      <w:pPr>
        <w:pStyle w:val="Nadpis3"/>
        <w:rPr>
          <w:b w:val="0"/>
        </w:rPr>
      </w:pPr>
      <w:bookmarkStart w:id="43" w:name="_Toc500503416"/>
      <w:r w:rsidRPr="00646D13">
        <w:rPr>
          <w:rFonts w:ascii="Times New Roman" w:hAnsi="Times New Roman" w:cs="Times New Roman"/>
          <w:color w:val="auto"/>
          <w:sz w:val="24"/>
        </w:rPr>
        <w:t>3</w:t>
      </w:r>
      <w:r w:rsidRPr="00A477BC">
        <w:rPr>
          <w:rFonts w:ascii="Times New Roman" w:hAnsi="Times New Roman" w:cs="Times New Roman"/>
          <w:color w:val="auto"/>
          <w:sz w:val="24"/>
        </w:rPr>
        <w:t>.1.</w:t>
      </w:r>
      <w:r w:rsidR="00C27F47">
        <w:rPr>
          <w:rFonts w:ascii="Times New Roman" w:hAnsi="Times New Roman" w:cs="Times New Roman"/>
          <w:color w:val="auto"/>
          <w:sz w:val="24"/>
        </w:rPr>
        <w:t xml:space="preserve">9 </w:t>
      </w:r>
      <w:r w:rsidRPr="00A477BC">
        <w:rPr>
          <w:rFonts w:ascii="Times New Roman" w:hAnsi="Times New Roman" w:cs="Times New Roman"/>
          <w:color w:val="auto"/>
          <w:sz w:val="24"/>
        </w:rPr>
        <w:t>Ukazovatele k sledovaniu plnenia proexportných cieľov</w:t>
      </w:r>
      <w:bookmarkEnd w:id="43"/>
      <w:r w:rsidRPr="00A477BC">
        <w:rPr>
          <w:rFonts w:ascii="Times New Roman" w:hAnsi="Times New Roman" w:cs="Times New Roman"/>
          <w:color w:val="auto"/>
          <w:sz w:val="24"/>
        </w:rPr>
        <w:t xml:space="preserve">                                                                                                               </w:t>
      </w:r>
    </w:p>
    <w:tbl>
      <w:tblPr>
        <w:tblW w:w="48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5"/>
        <w:gridCol w:w="2914"/>
        <w:gridCol w:w="821"/>
        <w:gridCol w:w="821"/>
        <w:gridCol w:w="931"/>
        <w:gridCol w:w="1041"/>
        <w:gridCol w:w="986"/>
      </w:tblGrid>
      <w:tr w:rsidR="00A477BC" w:rsidRPr="00B17BA1" w14:paraId="16308EC8" w14:textId="77777777" w:rsidTr="00A477BC">
        <w:trPr>
          <w:trHeight w:val="287"/>
        </w:trPr>
        <w:tc>
          <w:tcPr>
            <w:tcW w:w="537" w:type="pct"/>
            <w:shd w:val="clear" w:color="auto" w:fill="D9D9D9"/>
            <w:vAlign w:val="center"/>
          </w:tcPr>
          <w:p w14:paraId="2D70566F" w14:textId="77777777" w:rsidR="00A477BC" w:rsidRPr="00B17BA1" w:rsidRDefault="00A477BC" w:rsidP="00A477BC">
            <w:pPr>
              <w:jc w:val="center"/>
              <w:rPr>
                <w:b/>
              </w:rPr>
            </w:pPr>
            <w:r w:rsidRPr="00B17BA1">
              <w:rPr>
                <w:b/>
              </w:rPr>
              <w:t>Cieľ</w:t>
            </w:r>
          </w:p>
        </w:tc>
        <w:tc>
          <w:tcPr>
            <w:tcW w:w="1718" w:type="pct"/>
            <w:shd w:val="clear" w:color="auto" w:fill="D9D9D9"/>
            <w:vAlign w:val="center"/>
          </w:tcPr>
          <w:p w14:paraId="49B0B67E" w14:textId="77777777" w:rsidR="00A477BC" w:rsidRPr="00B17BA1" w:rsidRDefault="00A477BC" w:rsidP="00A477BC">
            <w:pPr>
              <w:jc w:val="center"/>
              <w:rPr>
                <w:b/>
              </w:rPr>
            </w:pPr>
            <w:r w:rsidRPr="00B17BA1">
              <w:rPr>
                <w:b/>
              </w:rPr>
              <w:t>Ukazovateľ</w:t>
            </w:r>
          </w:p>
        </w:tc>
        <w:tc>
          <w:tcPr>
            <w:tcW w:w="514" w:type="pct"/>
            <w:shd w:val="clear" w:color="auto" w:fill="D9D9D9"/>
            <w:vAlign w:val="center"/>
          </w:tcPr>
          <w:p w14:paraId="1B55D545" w14:textId="77777777" w:rsidR="00A477BC" w:rsidRPr="00B17BA1" w:rsidRDefault="00A477BC" w:rsidP="00A477BC">
            <w:pPr>
              <w:jc w:val="center"/>
              <w:rPr>
                <w:b/>
              </w:rPr>
            </w:pPr>
            <w:r w:rsidRPr="00B17BA1">
              <w:rPr>
                <w:b/>
              </w:rPr>
              <w:t>2012</w:t>
            </w:r>
          </w:p>
        </w:tc>
        <w:tc>
          <w:tcPr>
            <w:tcW w:w="515" w:type="pct"/>
            <w:shd w:val="clear" w:color="auto" w:fill="D9D9D9"/>
            <w:vAlign w:val="center"/>
          </w:tcPr>
          <w:p w14:paraId="46E37535" w14:textId="77777777" w:rsidR="00A477BC" w:rsidRPr="00B17BA1" w:rsidRDefault="00A477BC" w:rsidP="00A477BC">
            <w:pPr>
              <w:jc w:val="center"/>
              <w:rPr>
                <w:b/>
              </w:rPr>
            </w:pPr>
            <w:r w:rsidRPr="00B17BA1">
              <w:rPr>
                <w:b/>
              </w:rPr>
              <w:t>2013</w:t>
            </w:r>
          </w:p>
        </w:tc>
        <w:tc>
          <w:tcPr>
            <w:tcW w:w="515" w:type="pct"/>
            <w:shd w:val="clear" w:color="auto" w:fill="D9D9D9"/>
            <w:vAlign w:val="center"/>
          </w:tcPr>
          <w:p w14:paraId="1F14547D" w14:textId="77777777" w:rsidR="00A477BC" w:rsidRPr="00B17BA1" w:rsidRDefault="00A477BC" w:rsidP="00A477BC">
            <w:pPr>
              <w:jc w:val="center"/>
              <w:rPr>
                <w:b/>
              </w:rPr>
            </w:pPr>
            <w:r w:rsidRPr="00B17BA1">
              <w:rPr>
                <w:b/>
              </w:rPr>
              <w:t>2014</w:t>
            </w:r>
          </w:p>
        </w:tc>
        <w:tc>
          <w:tcPr>
            <w:tcW w:w="618" w:type="pct"/>
            <w:shd w:val="clear" w:color="auto" w:fill="D9D9D9"/>
            <w:vAlign w:val="center"/>
          </w:tcPr>
          <w:p w14:paraId="69F9F7E7" w14:textId="77777777" w:rsidR="00A477BC" w:rsidRPr="00B17BA1" w:rsidRDefault="00A477BC" w:rsidP="00A477BC">
            <w:pPr>
              <w:jc w:val="center"/>
              <w:rPr>
                <w:b/>
              </w:rPr>
            </w:pPr>
            <w:r>
              <w:rPr>
                <w:b/>
              </w:rPr>
              <w:t>2015</w:t>
            </w:r>
          </w:p>
        </w:tc>
        <w:tc>
          <w:tcPr>
            <w:tcW w:w="583" w:type="pct"/>
            <w:shd w:val="clear" w:color="auto" w:fill="D9D9D9"/>
          </w:tcPr>
          <w:p w14:paraId="35A85779" w14:textId="77777777" w:rsidR="00A477BC" w:rsidRDefault="00A477BC" w:rsidP="00A477BC">
            <w:pPr>
              <w:jc w:val="center"/>
              <w:rPr>
                <w:b/>
              </w:rPr>
            </w:pPr>
            <w:r>
              <w:rPr>
                <w:b/>
              </w:rPr>
              <w:t>2016</w:t>
            </w:r>
          </w:p>
        </w:tc>
      </w:tr>
      <w:tr w:rsidR="00A477BC" w:rsidRPr="00B17BA1" w14:paraId="60A88842" w14:textId="77777777" w:rsidTr="00A477BC">
        <w:trPr>
          <w:trHeight w:val="641"/>
        </w:trPr>
        <w:tc>
          <w:tcPr>
            <w:tcW w:w="537" w:type="pct"/>
            <w:vAlign w:val="center"/>
          </w:tcPr>
          <w:p w14:paraId="5FE24F9E" w14:textId="77777777" w:rsidR="00A477BC" w:rsidRPr="00B23161" w:rsidRDefault="00A477BC" w:rsidP="00A477BC">
            <w:pPr>
              <w:jc w:val="center"/>
              <w:rPr>
                <w:sz w:val="22"/>
              </w:rPr>
            </w:pPr>
            <w:r w:rsidRPr="00B23161">
              <w:rPr>
                <w:sz w:val="22"/>
              </w:rPr>
              <w:t>Nárast exportu</w:t>
            </w:r>
          </w:p>
        </w:tc>
        <w:tc>
          <w:tcPr>
            <w:tcW w:w="1718" w:type="pct"/>
          </w:tcPr>
          <w:p w14:paraId="08154CC0" w14:textId="77777777" w:rsidR="00A477BC" w:rsidRPr="00B23161" w:rsidRDefault="00A477BC" w:rsidP="00A477BC">
            <w:pPr>
              <w:rPr>
                <w:sz w:val="22"/>
              </w:rPr>
            </w:pPr>
            <w:r w:rsidRPr="00B23161">
              <w:rPr>
                <w:sz w:val="22"/>
              </w:rPr>
              <w:t>Export tovarov</w:t>
            </w:r>
          </w:p>
          <w:p w14:paraId="342E07E4" w14:textId="77777777" w:rsidR="00A477BC" w:rsidRPr="00B23161" w:rsidRDefault="00A477BC" w:rsidP="00A477BC">
            <w:pPr>
              <w:rPr>
                <w:sz w:val="22"/>
              </w:rPr>
            </w:pPr>
            <w:r w:rsidRPr="00B23161">
              <w:rPr>
                <w:sz w:val="22"/>
              </w:rPr>
              <w:t>Export tovarov na obyvateľa</w:t>
            </w:r>
          </w:p>
        </w:tc>
        <w:tc>
          <w:tcPr>
            <w:tcW w:w="514" w:type="pct"/>
          </w:tcPr>
          <w:p w14:paraId="64F17AC3" w14:textId="77777777" w:rsidR="00A477BC" w:rsidRPr="00B23161" w:rsidRDefault="00A477BC" w:rsidP="00A477BC">
            <w:pPr>
              <w:rPr>
                <w:sz w:val="22"/>
              </w:rPr>
            </w:pPr>
            <w:r w:rsidRPr="00B23161">
              <w:rPr>
                <w:sz w:val="22"/>
              </w:rPr>
              <w:t>62 144 mil. €</w:t>
            </w:r>
          </w:p>
          <w:p w14:paraId="1EFF68E1" w14:textId="77777777" w:rsidR="00A477BC" w:rsidRPr="00B23161" w:rsidRDefault="00A477BC" w:rsidP="00A477BC">
            <w:pPr>
              <w:rPr>
                <w:sz w:val="22"/>
              </w:rPr>
            </w:pPr>
            <w:r w:rsidRPr="00B23161">
              <w:rPr>
                <w:sz w:val="22"/>
              </w:rPr>
              <w:t xml:space="preserve">11 </w:t>
            </w:r>
            <w:r>
              <w:rPr>
                <w:sz w:val="22"/>
              </w:rPr>
              <w:t>118</w:t>
            </w:r>
            <w:r w:rsidRPr="00B23161">
              <w:rPr>
                <w:sz w:val="22"/>
              </w:rPr>
              <w:t xml:space="preserve"> €</w:t>
            </w:r>
          </w:p>
        </w:tc>
        <w:tc>
          <w:tcPr>
            <w:tcW w:w="515" w:type="pct"/>
          </w:tcPr>
          <w:p w14:paraId="476731A4" w14:textId="77777777" w:rsidR="00A477BC" w:rsidRPr="00B23161" w:rsidRDefault="00A477BC" w:rsidP="00A477BC">
            <w:pPr>
              <w:jc w:val="both"/>
              <w:rPr>
                <w:sz w:val="22"/>
              </w:rPr>
            </w:pPr>
            <w:r w:rsidRPr="00B23161">
              <w:rPr>
                <w:sz w:val="22"/>
              </w:rPr>
              <w:t>64 172 mil. €</w:t>
            </w:r>
          </w:p>
          <w:p w14:paraId="5CE8395E" w14:textId="77777777" w:rsidR="00A477BC" w:rsidRPr="00B23161" w:rsidRDefault="00A477BC" w:rsidP="00A477BC">
            <w:pPr>
              <w:jc w:val="both"/>
              <w:rPr>
                <w:sz w:val="22"/>
              </w:rPr>
            </w:pPr>
            <w:r w:rsidRPr="00B23161">
              <w:rPr>
                <w:sz w:val="22"/>
              </w:rPr>
              <w:t>11 </w:t>
            </w:r>
            <w:r>
              <w:rPr>
                <w:sz w:val="22"/>
              </w:rPr>
              <w:t>523</w:t>
            </w:r>
            <w:r w:rsidRPr="00B23161">
              <w:rPr>
                <w:sz w:val="22"/>
              </w:rPr>
              <w:t xml:space="preserve"> €</w:t>
            </w:r>
          </w:p>
        </w:tc>
        <w:tc>
          <w:tcPr>
            <w:tcW w:w="515" w:type="pct"/>
          </w:tcPr>
          <w:p w14:paraId="53EDAE5A" w14:textId="77777777" w:rsidR="00A477BC" w:rsidRPr="00B23161" w:rsidRDefault="00A477BC" w:rsidP="00A477BC">
            <w:pPr>
              <w:rPr>
                <w:sz w:val="22"/>
              </w:rPr>
            </w:pPr>
            <w:r w:rsidRPr="00B23161">
              <w:rPr>
                <w:sz w:val="22"/>
              </w:rPr>
              <w:t>64 801 mil. €</w:t>
            </w:r>
          </w:p>
          <w:p w14:paraId="60469F6A" w14:textId="77777777" w:rsidR="00A477BC" w:rsidRPr="00B23161" w:rsidRDefault="00A477BC" w:rsidP="00A477BC">
            <w:pPr>
              <w:rPr>
                <w:sz w:val="22"/>
              </w:rPr>
            </w:pPr>
            <w:r w:rsidRPr="00B23161">
              <w:rPr>
                <w:sz w:val="22"/>
              </w:rPr>
              <w:t>1</w:t>
            </w:r>
            <w:r>
              <w:rPr>
                <w:sz w:val="22"/>
              </w:rPr>
              <w:t>1</w:t>
            </w:r>
            <w:r w:rsidRPr="00B23161">
              <w:rPr>
                <w:sz w:val="22"/>
              </w:rPr>
              <w:t> </w:t>
            </w:r>
            <w:r>
              <w:rPr>
                <w:sz w:val="22"/>
              </w:rPr>
              <w:t>543</w:t>
            </w:r>
            <w:r w:rsidRPr="00B23161">
              <w:rPr>
                <w:sz w:val="22"/>
              </w:rPr>
              <w:t xml:space="preserve"> €</w:t>
            </w:r>
          </w:p>
        </w:tc>
        <w:tc>
          <w:tcPr>
            <w:tcW w:w="618" w:type="pct"/>
          </w:tcPr>
          <w:p w14:paraId="105E94DB" w14:textId="77777777" w:rsidR="00A477BC" w:rsidRDefault="00A477BC" w:rsidP="00A477BC">
            <w:pPr>
              <w:rPr>
                <w:sz w:val="22"/>
              </w:rPr>
            </w:pPr>
            <w:r>
              <w:rPr>
                <w:sz w:val="22"/>
              </w:rPr>
              <w:t xml:space="preserve">67 679,9 mil. </w:t>
            </w:r>
            <w:r w:rsidRPr="00B23161">
              <w:rPr>
                <w:sz w:val="22"/>
              </w:rPr>
              <w:t>€</w:t>
            </w:r>
          </w:p>
          <w:p w14:paraId="178145E4" w14:textId="77777777" w:rsidR="00A477BC" w:rsidRPr="00B23161" w:rsidRDefault="00A477BC" w:rsidP="00A477BC">
            <w:pPr>
              <w:rPr>
                <w:sz w:val="22"/>
              </w:rPr>
            </w:pPr>
            <w:r>
              <w:rPr>
                <w:sz w:val="22"/>
              </w:rPr>
              <w:t xml:space="preserve">11 914 </w:t>
            </w:r>
            <w:r w:rsidRPr="00B23161">
              <w:rPr>
                <w:sz w:val="22"/>
              </w:rPr>
              <w:t xml:space="preserve"> €</w:t>
            </w:r>
          </w:p>
        </w:tc>
        <w:tc>
          <w:tcPr>
            <w:tcW w:w="583" w:type="pct"/>
          </w:tcPr>
          <w:p w14:paraId="5562F55F" w14:textId="77777777" w:rsidR="00A477BC" w:rsidRDefault="00A477BC" w:rsidP="00A477BC">
            <w:pPr>
              <w:rPr>
                <w:sz w:val="22"/>
              </w:rPr>
            </w:pPr>
            <w:r>
              <w:rPr>
                <w:sz w:val="22"/>
              </w:rPr>
              <w:t>70 032,2 mil.</w:t>
            </w:r>
            <w:r w:rsidRPr="00B23161">
              <w:rPr>
                <w:sz w:val="22"/>
              </w:rPr>
              <w:t xml:space="preserve"> €</w:t>
            </w:r>
          </w:p>
          <w:p w14:paraId="506C2A88" w14:textId="77777777" w:rsidR="00A477BC" w:rsidRPr="00B23161" w:rsidRDefault="00A477BC" w:rsidP="00A477BC">
            <w:pPr>
              <w:rPr>
                <w:sz w:val="22"/>
              </w:rPr>
            </w:pPr>
            <w:r>
              <w:rPr>
                <w:sz w:val="22"/>
              </w:rPr>
              <w:t>12 357</w:t>
            </w:r>
            <w:r w:rsidRPr="00B23161">
              <w:rPr>
                <w:sz w:val="22"/>
              </w:rPr>
              <w:t>€</w:t>
            </w:r>
          </w:p>
        </w:tc>
      </w:tr>
      <w:tr w:rsidR="00A477BC" w:rsidRPr="00B17BA1" w14:paraId="647B50F2" w14:textId="77777777" w:rsidTr="00A477BC">
        <w:trPr>
          <w:trHeight w:val="976"/>
        </w:trPr>
        <w:tc>
          <w:tcPr>
            <w:tcW w:w="537" w:type="pct"/>
            <w:vAlign w:val="center"/>
          </w:tcPr>
          <w:p w14:paraId="3C80388C" w14:textId="77777777" w:rsidR="00A477BC" w:rsidRPr="00B23161" w:rsidRDefault="00A477BC" w:rsidP="00A477BC">
            <w:pPr>
              <w:jc w:val="center"/>
              <w:rPr>
                <w:sz w:val="22"/>
              </w:rPr>
            </w:pPr>
            <w:r w:rsidRPr="00B23161">
              <w:rPr>
                <w:sz w:val="22"/>
              </w:rPr>
              <w:t>Nárast počtu exportérov</w:t>
            </w:r>
          </w:p>
          <w:p w14:paraId="1E063445" w14:textId="77777777" w:rsidR="00A477BC" w:rsidRPr="00B23161" w:rsidRDefault="00A477BC" w:rsidP="00A477BC">
            <w:pPr>
              <w:jc w:val="center"/>
              <w:rPr>
                <w:sz w:val="22"/>
              </w:rPr>
            </w:pPr>
          </w:p>
        </w:tc>
        <w:tc>
          <w:tcPr>
            <w:tcW w:w="1718" w:type="pct"/>
            <w:vAlign w:val="center"/>
          </w:tcPr>
          <w:p w14:paraId="6F0FF3A2" w14:textId="77777777" w:rsidR="00A477BC" w:rsidRPr="00B23161" w:rsidRDefault="00A477BC" w:rsidP="00A477BC">
            <w:pPr>
              <w:rPr>
                <w:sz w:val="22"/>
              </w:rPr>
            </w:pPr>
            <w:r w:rsidRPr="00B23161">
              <w:rPr>
                <w:sz w:val="22"/>
              </w:rPr>
              <w:t>Počet exportujúcich firiem</w:t>
            </w:r>
          </w:p>
          <w:p w14:paraId="5202935F" w14:textId="77777777" w:rsidR="00A477BC" w:rsidRPr="00B23161" w:rsidRDefault="00A477BC" w:rsidP="00A477BC">
            <w:pPr>
              <w:rPr>
                <w:sz w:val="22"/>
              </w:rPr>
            </w:pPr>
            <w:r w:rsidRPr="00B23161">
              <w:rPr>
                <w:sz w:val="22"/>
              </w:rPr>
              <w:t>Počet nových exportérov</w:t>
            </w:r>
          </w:p>
          <w:p w14:paraId="47DC9793" w14:textId="77777777" w:rsidR="00A477BC" w:rsidRDefault="00A477BC" w:rsidP="00A477BC">
            <w:pPr>
              <w:rPr>
                <w:sz w:val="22"/>
              </w:rPr>
            </w:pPr>
            <w:r w:rsidRPr="00B23161">
              <w:rPr>
                <w:sz w:val="22"/>
              </w:rPr>
              <w:t xml:space="preserve">Počet zamestnancov v exportujúcich </w:t>
            </w:r>
          </w:p>
          <w:p w14:paraId="74AFCA1A" w14:textId="77777777" w:rsidR="00A477BC" w:rsidRPr="00B23161" w:rsidRDefault="00A477BC" w:rsidP="00A477BC">
            <w:pPr>
              <w:rPr>
                <w:sz w:val="22"/>
              </w:rPr>
            </w:pPr>
            <w:r w:rsidRPr="00B23161">
              <w:rPr>
                <w:sz w:val="22"/>
              </w:rPr>
              <w:t>spravodajských jednotkách</w:t>
            </w:r>
          </w:p>
        </w:tc>
        <w:tc>
          <w:tcPr>
            <w:tcW w:w="514" w:type="pct"/>
          </w:tcPr>
          <w:p w14:paraId="16E93046" w14:textId="77777777" w:rsidR="00A477BC" w:rsidRPr="00B23161" w:rsidRDefault="00A477BC" w:rsidP="00A477BC">
            <w:pPr>
              <w:rPr>
                <w:sz w:val="22"/>
              </w:rPr>
            </w:pPr>
            <w:r>
              <w:rPr>
                <w:sz w:val="22"/>
              </w:rPr>
              <w:t xml:space="preserve">  </w:t>
            </w:r>
            <w:r w:rsidRPr="00B23161">
              <w:rPr>
                <w:sz w:val="22"/>
              </w:rPr>
              <w:t>28 500</w:t>
            </w:r>
          </w:p>
          <w:p w14:paraId="0AEDA568" w14:textId="77777777" w:rsidR="00A477BC" w:rsidRPr="00B23161" w:rsidRDefault="00A477BC" w:rsidP="00A477BC">
            <w:pPr>
              <w:rPr>
                <w:sz w:val="22"/>
              </w:rPr>
            </w:pPr>
            <w:r>
              <w:rPr>
                <w:sz w:val="22"/>
              </w:rPr>
              <w:t xml:space="preserve">    </w:t>
            </w:r>
            <w:r w:rsidRPr="00B23161">
              <w:rPr>
                <w:sz w:val="22"/>
              </w:rPr>
              <w:t>8 649</w:t>
            </w:r>
          </w:p>
          <w:p w14:paraId="59EF2E31" w14:textId="77777777" w:rsidR="00A477BC" w:rsidRPr="00B23161" w:rsidRDefault="00A477BC" w:rsidP="00A477BC">
            <w:pPr>
              <w:rPr>
                <w:sz w:val="22"/>
              </w:rPr>
            </w:pPr>
            <w:r w:rsidRPr="00B23161">
              <w:rPr>
                <w:sz w:val="22"/>
              </w:rPr>
              <w:t>699 758</w:t>
            </w:r>
          </w:p>
        </w:tc>
        <w:tc>
          <w:tcPr>
            <w:tcW w:w="515" w:type="pct"/>
          </w:tcPr>
          <w:p w14:paraId="47CBFC78" w14:textId="77777777" w:rsidR="00A477BC" w:rsidRPr="00B23161" w:rsidRDefault="00A477BC" w:rsidP="00A477BC">
            <w:pPr>
              <w:rPr>
                <w:sz w:val="22"/>
              </w:rPr>
            </w:pPr>
            <w:r>
              <w:rPr>
                <w:sz w:val="22"/>
              </w:rPr>
              <w:t xml:space="preserve">  </w:t>
            </w:r>
            <w:r w:rsidRPr="00B23161">
              <w:rPr>
                <w:sz w:val="22"/>
              </w:rPr>
              <w:t>29 416</w:t>
            </w:r>
          </w:p>
          <w:p w14:paraId="77A16C4B" w14:textId="77777777" w:rsidR="00A477BC" w:rsidRPr="00B23161" w:rsidRDefault="00A477BC" w:rsidP="00A477BC">
            <w:pPr>
              <w:rPr>
                <w:sz w:val="22"/>
              </w:rPr>
            </w:pPr>
            <w:r>
              <w:rPr>
                <w:sz w:val="22"/>
              </w:rPr>
              <w:t xml:space="preserve">    </w:t>
            </w:r>
            <w:r w:rsidRPr="00B23161">
              <w:rPr>
                <w:sz w:val="22"/>
              </w:rPr>
              <w:t>8 613</w:t>
            </w:r>
          </w:p>
          <w:p w14:paraId="06C47E3F" w14:textId="77777777" w:rsidR="00A477BC" w:rsidRPr="00B23161" w:rsidRDefault="00A477BC" w:rsidP="00A477BC">
            <w:pPr>
              <w:rPr>
                <w:sz w:val="22"/>
              </w:rPr>
            </w:pPr>
            <w:r w:rsidRPr="00B23161">
              <w:rPr>
                <w:sz w:val="22"/>
              </w:rPr>
              <w:t>689 235</w:t>
            </w:r>
          </w:p>
        </w:tc>
        <w:tc>
          <w:tcPr>
            <w:tcW w:w="515" w:type="pct"/>
          </w:tcPr>
          <w:p w14:paraId="3B2BFA3F" w14:textId="77777777" w:rsidR="00A477BC" w:rsidRPr="00B23161" w:rsidRDefault="00A477BC" w:rsidP="00A477BC">
            <w:pPr>
              <w:rPr>
                <w:sz w:val="22"/>
              </w:rPr>
            </w:pPr>
            <w:r>
              <w:rPr>
                <w:sz w:val="22"/>
              </w:rPr>
              <w:t xml:space="preserve">  </w:t>
            </w:r>
            <w:r w:rsidRPr="00B23161">
              <w:rPr>
                <w:sz w:val="22"/>
              </w:rPr>
              <w:t>30 313</w:t>
            </w:r>
          </w:p>
          <w:p w14:paraId="212C280B" w14:textId="77777777" w:rsidR="00A477BC" w:rsidRPr="00B23161" w:rsidRDefault="00A477BC" w:rsidP="00A477BC">
            <w:pPr>
              <w:rPr>
                <w:sz w:val="22"/>
              </w:rPr>
            </w:pPr>
            <w:r>
              <w:rPr>
                <w:sz w:val="22"/>
              </w:rPr>
              <w:t xml:space="preserve">    </w:t>
            </w:r>
            <w:r w:rsidRPr="00B23161">
              <w:rPr>
                <w:sz w:val="22"/>
              </w:rPr>
              <w:t>9 211</w:t>
            </w:r>
          </w:p>
          <w:p w14:paraId="3608E9B7" w14:textId="77777777" w:rsidR="00A477BC" w:rsidRPr="00B23161" w:rsidRDefault="00A477BC" w:rsidP="00A477BC">
            <w:pPr>
              <w:rPr>
                <w:sz w:val="22"/>
              </w:rPr>
            </w:pPr>
            <w:r w:rsidRPr="00B23161">
              <w:rPr>
                <w:sz w:val="22"/>
              </w:rPr>
              <w:t>752</w:t>
            </w:r>
            <w:r>
              <w:rPr>
                <w:sz w:val="22"/>
              </w:rPr>
              <w:t> </w:t>
            </w:r>
            <w:r w:rsidRPr="00B23161">
              <w:rPr>
                <w:sz w:val="22"/>
              </w:rPr>
              <w:t>934</w:t>
            </w:r>
          </w:p>
        </w:tc>
        <w:tc>
          <w:tcPr>
            <w:tcW w:w="618" w:type="pct"/>
          </w:tcPr>
          <w:p w14:paraId="0EFAE268" w14:textId="77777777" w:rsidR="00A477BC" w:rsidRDefault="00A477BC" w:rsidP="00A477BC">
            <w:pPr>
              <w:rPr>
                <w:sz w:val="22"/>
              </w:rPr>
            </w:pPr>
            <w:r>
              <w:rPr>
                <w:sz w:val="22"/>
              </w:rPr>
              <w:t xml:space="preserve">  30 513</w:t>
            </w:r>
          </w:p>
          <w:p w14:paraId="49CC69DA" w14:textId="77777777" w:rsidR="00A477BC" w:rsidRDefault="00A477BC" w:rsidP="00A477BC">
            <w:pPr>
              <w:rPr>
                <w:sz w:val="22"/>
              </w:rPr>
            </w:pPr>
            <w:r>
              <w:rPr>
                <w:sz w:val="22"/>
              </w:rPr>
              <w:t xml:space="preserve">    8 556</w:t>
            </w:r>
          </w:p>
          <w:p w14:paraId="4205A145" w14:textId="77777777" w:rsidR="00A477BC" w:rsidRPr="00B23161" w:rsidRDefault="00A477BC" w:rsidP="00A477BC">
            <w:pPr>
              <w:rPr>
                <w:sz w:val="22"/>
              </w:rPr>
            </w:pPr>
            <w:r>
              <w:rPr>
                <w:sz w:val="22"/>
              </w:rPr>
              <w:t>752 597</w:t>
            </w:r>
          </w:p>
        </w:tc>
        <w:tc>
          <w:tcPr>
            <w:tcW w:w="583" w:type="pct"/>
          </w:tcPr>
          <w:p w14:paraId="6D089C12" w14:textId="77777777" w:rsidR="00A477BC" w:rsidRDefault="00A477BC" w:rsidP="00A477BC">
            <w:pPr>
              <w:rPr>
                <w:sz w:val="22"/>
              </w:rPr>
            </w:pPr>
            <w:r>
              <w:rPr>
                <w:sz w:val="22"/>
              </w:rPr>
              <w:t xml:space="preserve"> 31 059</w:t>
            </w:r>
          </w:p>
          <w:p w14:paraId="7E584DBB" w14:textId="77777777" w:rsidR="00A477BC" w:rsidRDefault="00A477BC" w:rsidP="00A477BC">
            <w:pPr>
              <w:rPr>
                <w:sz w:val="22"/>
              </w:rPr>
            </w:pPr>
            <w:r>
              <w:rPr>
                <w:sz w:val="22"/>
              </w:rPr>
              <w:t xml:space="preserve">   8 951</w:t>
            </w:r>
          </w:p>
          <w:p w14:paraId="1CAAEE0E" w14:textId="77777777" w:rsidR="00A477BC" w:rsidRPr="00B23161" w:rsidRDefault="00A477BC" w:rsidP="00A477BC">
            <w:pPr>
              <w:rPr>
                <w:sz w:val="22"/>
              </w:rPr>
            </w:pPr>
            <w:r>
              <w:rPr>
                <w:sz w:val="22"/>
              </w:rPr>
              <w:t>761 522</w:t>
            </w:r>
          </w:p>
        </w:tc>
      </w:tr>
      <w:tr w:rsidR="00A477BC" w:rsidRPr="00B17BA1" w14:paraId="7C31DBDF" w14:textId="77777777" w:rsidTr="00A477BC">
        <w:trPr>
          <w:trHeight w:val="1699"/>
        </w:trPr>
        <w:tc>
          <w:tcPr>
            <w:tcW w:w="537" w:type="pct"/>
            <w:vAlign w:val="center"/>
          </w:tcPr>
          <w:p w14:paraId="69DD4727" w14:textId="77777777" w:rsidR="00A477BC" w:rsidRPr="00B23161" w:rsidRDefault="00A477BC" w:rsidP="00A477BC">
            <w:pPr>
              <w:jc w:val="center"/>
              <w:rPr>
                <w:sz w:val="22"/>
              </w:rPr>
            </w:pPr>
            <w:r w:rsidRPr="00B23161">
              <w:rPr>
                <w:sz w:val="22"/>
              </w:rPr>
              <w:t>Diverzifikácia teritoriálnej štruktúry exportu</w:t>
            </w:r>
          </w:p>
        </w:tc>
        <w:tc>
          <w:tcPr>
            <w:tcW w:w="1718" w:type="pct"/>
          </w:tcPr>
          <w:p w14:paraId="68FF8AF1" w14:textId="77777777" w:rsidR="00A477BC" w:rsidRPr="00B23161" w:rsidRDefault="00A477BC" w:rsidP="00A477BC">
            <w:pPr>
              <w:rPr>
                <w:sz w:val="22"/>
              </w:rPr>
            </w:pPr>
            <w:r w:rsidRPr="00B23161">
              <w:rPr>
                <w:sz w:val="22"/>
              </w:rPr>
              <w:t>Export na trhy EÚ</w:t>
            </w:r>
          </w:p>
          <w:p w14:paraId="2E822F58" w14:textId="77777777" w:rsidR="00A477BC" w:rsidRPr="00567B6B" w:rsidRDefault="00A477BC" w:rsidP="00A477BC">
            <w:pPr>
              <w:rPr>
                <w:color w:val="000000" w:themeColor="text1"/>
                <w:sz w:val="22"/>
              </w:rPr>
            </w:pPr>
            <w:r w:rsidRPr="00B23161">
              <w:rPr>
                <w:sz w:val="22"/>
              </w:rPr>
              <w:t>Export MSP na trhy EÚ</w:t>
            </w:r>
            <w:r>
              <w:rPr>
                <w:sz w:val="22"/>
              </w:rPr>
              <w:t xml:space="preserve"> </w:t>
            </w:r>
            <w:r w:rsidRPr="00567B6B">
              <w:rPr>
                <w:color w:val="000000" w:themeColor="text1"/>
                <w:sz w:val="22"/>
              </w:rPr>
              <w:t>(2</w:t>
            </w:r>
            <w:r>
              <w:rPr>
                <w:color w:val="000000" w:themeColor="text1"/>
                <w:sz w:val="22"/>
              </w:rPr>
              <w:t>8</w:t>
            </w:r>
            <w:r w:rsidRPr="00567B6B">
              <w:rPr>
                <w:color w:val="000000" w:themeColor="text1"/>
                <w:sz w:val="22"/>
              </w:rPr>
              <w:t>)</w:t>
            </w:r>
          </w:p>
          <w:p w14:paraId="535F1D1B" w14:textId="77777777" w:rsidR="00A477BC" w:rsidRPr="00B23161" w:rsidRDefault="00A477BC" w:rsidP="00A477BC">
            <w:pPr>
              <w:rPr>
                <w:sz w:val="22"/>
              </w:rPr>
            </w:pPr>
            <w:r w:rsidRPr="00B23161">
              <w:rPr>
                <w:sz w:val="22"/>
              </w:rPr>
              <w:t>Export mimo trhy EÚ</w:t>
            </w:r>
          </w:p>
          <w:p w14:paraId="02EC825C" w14:textId="77777777" w:rsidR="00A477BC" w:rsidRPr="00B23161" w:rsidRDefault="00A477BC" w:rsidP="00A477BC">
            <w:pPr>
              <w:rPr>
                <w:sz w:val="22"/>
              </w:rPr>
            </w:pPr>
            <w:r w:rsidRPr="00B23161">
              <w:rPr>
                <w:sz w:val="22"/>
              </w:rPr>
              <w:t xml:space="preserve">Export MSP na trhy mimo EÚ </w:t>
            </w:r>
          </w:p>
          <w:p w14:paraId="4651A5F7" w14:textId="77777777" w:rsidR="00A477BC" w:rsidRPr="00B23161" w:rsidRDefault="00A477BC" w:rsidP="00A477BC">
            <w:pPr>
              <w:rPr>
                <w:sz w:val="22"/>
              </w:rPr>
            </w:pPr>
            <w:r w:rsidRPr="00B23161">
              <w:rPr>
                <w:sz w:val="22"/>
              </w:rPr>
              <w:t>Export na mimoeurópske trhy</w:t>
            </w:r>
          </w:p>
          <w:p w14:paraId="4558C475" w14:textId="77777777" w:rsidR="00A477BC" w:rsidRPr="00B23161" w:rsidRDefault="00A477BC" w:rsidP="00A477BC">
            <w:pPr>
              <w:rPr>
                <w:sz w:val="22"/>
              </w:rPr>
            </w:pPr>
            <w:r w:rsidRPr="00B23161">
              <w:rPr>
                <w:sz w:val="22"/>
              </w:rPr>
              <w:t>Export MSP na mimoeurópske trhy***</w:t>
            </w:r>
          </w:p>
        </w:tc>
        <w:tc>
          <w:tcPr>
            <w:tcW w:w="514" w:type="pct"/>
          </w:tcPr>
          <w:p w14:paraId="7975912B" w14:textId="77777777" w:rsidR="00A477BC" w:rsidRPr="00B23161" w:rsidRDefault="00A477BC" w:rsidP="00A477BC">
            <w:pPr>
              <w:rPr>
                <w:sz w:val="22"/>
              </w:rPr>
            </w:pPr>
            <w:r w:rsidRPr="00B23161">
              <w:rPr>
                <w:sz w:val="22"/>
              </w:rPr>
              <w:t>51 989 mil. €</w:t>
            </w:r>
          </w:p>
          <w:p w14:paraId="2E4F2891" w14:textId="77777777" w:rsidR="00A477BC" w:rsidRPr="00B23161" w:rsidRDefault="00A477BC" w:rsidP="00A477BC">
            <w:pPr>
              <w:rPr>
                <w:sz w:val="22"/>
              </w:rPr>
            </w:pPr>
            <w:r w:rsidRPr="00B23161">
              <w:rPr>
                <w:sz w:val="22"/>
              </w:rPr>
              <w:t>15 534 mil. €</w:t>
            </w:r>
          </w:p>
          <w:p w14:paraId="2DD40597" w14:textId="77777777" w:rsidR="00A477BC" w:rsidRPr="00B23161" w:rsidRDefault="00A477BC" w:rsidP="00A477BC">
            <w:pPr>
              <w:rPr>
                <w:sz w:val="22"/>
              </w:rPr>
            </w:pPr>
            <w:r w:rsidRPr="00B23161">
              <w:rPr>
                <w:sz w:val="22"/>
              </w:rPr>
              <w:t>10 297 mil. €</w:t>
            </w:r>
          </w:p>
          <w:p w14:paraId="39E72D33" w14:textId="77777777" w:rsidR="00A477BC" w:rsidRPr="00B23161" w:rsidRDefault="00A477BC" w:rsidP="00A477BC">
            <w:pPr>
              <w:rPr>
                <w:sz w:val="22"/>
              </w:rPr>
            </w:pPr>
            <w:r>
              <w:rPr>
                <w:sz w:val="22"/>
              </w:rPr>
              <w:t xml:space="preserve">  </w:t>
            </w:r>
            <w:r w:rsidRPr="00B23161">
              <w:rPr>
                <w:sz w:val="22"/>
              </w:rPr>
              <w:t>1 877 mil. €</w:t>
            </w:r>
          </w:p>
          <w:p w14:paraId="74BDD1F8" w14:textId="77777777" w:rsidR="00A477BC" w:rsidRPr="00B23161" w:rsidRDefault="00A477BC" w:rsidP="00A477BC">
            <w:pPr>
              <w:rPr>
                <w:sz w:val="22"/>
              </w:rPr>
            </w:pPr>
            <w:r>
              <w:rPr>
                <w:sz w:val="22"/>
              </w:rPr>
              <w:lastRenderedPageBreak/>
              <w:t xml:space="preserve">  </w:t>
            </w:r>
            <w:r w:rsidRPr="00B23161">
              <w:rPr>
                <w:sz w:val="22"/>
              </w:rPr>
              <w:t>5 390 mil. €</w:t>
            </w:r>
          </w:p>
          <w:p w14:paraId="312D0C22" w14:textId="77777777" w:rsidR="00A477BC" w:rsidRPr="00B23161" w:rsidRDefault="00A477BC" w:rsidP="00A477BC">
            <w:pPr>
              <w:rPr>
                <w:sz w:val="22"/>
              </w:rPr>
            </w:pPr>
            <w:r>
              <w:rPr>
                <w:sz w:val="22"/>
              </w:rPr>
              <w:t xml:space="preserve">     </w:t>
            </w:r>
            <w:r w:rsidRPr="00B23161">
              <w:rPr>
                <w:sz w:val="22"/>
              </w:rPr>
              <w:t xml:space="preserve">611 mil. € </w:t>
            </w:r>
          </w:p>
        </w:tc>
        <w:tc>
          <w:tcPr>
            <w:tcW w:w="515" w:type="pct"/>
          </w:tcPr>
          <w:p w14:paraId="2837438D" w14:textId="77777777" w:rsidR="00A477BC" w:rsidRPr="00B23161" w:rsidRDefault="00A477BC" w:rsidP="00A477BC">
            <w:pPr>
              <w:rPr>
                <w:sz w:val="22"/>
              </w:rPr>
            </w:pPr>
            <w:r w:rsidRPr="00B23161">
              <w:rPr>
                <w:sz w:val="22"/>
              </w:rPr>
              <w:lastRenderedPageBreak/>
              <w:t>52 863 mil. €</w:t>
            </w:r>
          </w:p>
          <w:p w14:paraId="6B2751D6" w14:textId="77777777" w:rsidR="00A477BC" w:rsidRPr="00B23161" w:rsidRDefault="00A477BC" w:rsidP="00A477BC">
            <w:pPr>
              <w:rPr>
                <w:sz w:val="22"/>
              </w:rPr>
            </w:pPr>
            <w:r w:rsidRPr="00B23161">
              <w:rPr>
                <w:sz w:val="22"/>
              </w:rPr>
              <w:t>15 509 mil. €</w:t>
            </w:r>
          </w:p>
          <w:p w14:paraId="5E7B61DF" w14:textId="77777777" w:rsidR="00A477BC" w:rsidRPr="00B23161" w:rsidRDefault="00A477BC" w:rsidP="00A477BC">
            <w:pPr>
              <w:rPr>
                <w:sz w:val="22"/>
              </w:rPr>
            </w:pPr>
            <w:r w:rsidRPr="00B23161">
              <w:rPr>
                <w:sz w:val="22"/>
              </w:rPr>
              <w:t>11 552 mil. €</w:t>
            </w:r>
          </w:p>
          <w:p w14:paraId="3E668DD7" w14:textId="77777777" w:rsidR="00A477BC" w:rsidRPr="00B23161" w:rsidRDefault="00A477BC" w:rsidP="00A477BC">
            <w:pPr>
              <w:rPr>
                <w:sz w:val="22"/>
              </w:rPr>
            </w:pPr>
            <w:r>
              <w:rPr>
                <w:sz w:val="22"/>
              </w:rPr>
              <w:t xml:space="preserve">  </w:t>
            </w:r>
            <w:r w:rsidRPr="00B23161">
              <w:rPr>
                <w:sz w:val="22"/>
              </w:rPr>
              <w:t>1 880 mil. €</w:t>
            </w:r>
          </w:p>
          <w:p w14:paraId="7F5C452C" w14:textId="77777777" w:rsidR="00A477BC" w:rsidRPr="00B23161" w:rsidRDefault="00A477BC" w:rsidP="00A477BC">
            <w:pPr>
              <w:rPr>
                <w:sz w:val="22"/>
              </w:rPr>
            </w:pPr>
            <w:r>
              <w:rPr>
                <w:sz w:val="22"/>
              </w:rPr>
              <w:lastRenderedPageBreak/>
              <w:t xml:space="preserve">  </w:t>
            </w:r>
            <w:r w:rsidRPr="00B23161">
              <w:rPr>
                <w:sz w:val="22"/>
              </w:rPr>
              <w:t xml:space="preserve">6 349 mil. € </w:t>
            </w:r>
          </w:p>
          <w:p w14:paraId="11D6A18C" w14:textId="77777777" w:rsidR="00A477BC" w:rsidRPr="00B23161" w:rsidRDefault="00A477BC" w:rsidP="00A477BC">
            <w:pPr>
              <w:rPr>
                <w:sz w:val="22"/>
              </w:rPr>
            </w:pPr>
            <w:r>
              <w:rPr>
                <w:sz w:val="22"/>
              </w:rPr>
              <w:t xml:space="preserve">     </w:t>
            </w:r>
            <w:r w:rsidRPr="00B23161">
              <w:rPr>
                <w:sz w:val="22"/>
              </w:rPr>
              <w:t>861 mil. €</w:t>
            </w:r>
          </w:p>
        </w:tc>
        <w:tc>
          <w:tcPr>
            <w:tcW w:w="515" w:type="pct"/>
          </w:tcPr>
          <w:p w14:paraId="7200355F" w14:textId="77777777" w:rsidR="00A477BC" w:rsidRPr="00B23161" w:rsidRDefault="00A477BC" w:rsidP="00A477BC">
            <w:pPr>
              <w:rPr>
                <w:sz w:val="22"/>
              </w:rPr>
            </w:pPr>
            <w:r w:rsidRPr="00B23161">
              <w:rPr>
                <w:sz w:val="22"/>
              </w:rPr>
              <w:lastRenderedPageBreak/>
              <w:t>54 196 mil. €</w:t>
            </w:r>
          </w:p>
          <w:p w14:paraId="0D0C8296" w14:textId="77777777" w:rsidR="00A477BC" w:rsidRPr="00B23161" w:rsidRDefault="00A477BC" w:rsidP="00A477BC">
            <w:pPr>
              <w:rPr>
                <w:sz w:val="22"/>
              </w:rPr>
            </w:pPr>
            <w:r w:rsidRPr="00B23161">
              <w:rPr>
                <w:sz w:val="22"/>
              </w:rPr>
              <w:t>15 412 mil. €</w:t>
            </w:r>
          </w:p>
          <w:p w14:paraId="33FA7EBF" w14:textId="77777777" w:rsidR="00A477BC" w:rsidRPr="00B23161" w:rsidRDefault="00A477BC" w:rsidP="00A477BC">
            <w:pPr>
              <w:rPr>
                <w:sz w:val="22"/>
              </w:rPr>
            </w:pPr>
            <w:r w:rsidRPr="00B23161">
              <w:rPr>
                <w:sz w:val="22"/>
              </w:rPr>
              <w:t>10 882 mil. €</w:t>
            </w:r>
          </w:p>
          <w:p w14:paraId="2BDD3F74" w14:textId="77777777" w:rsidR="00A477BC" w:rsidRPr="00B23161" w:rsidRDefault="00A477BC" w:rsidP="00A477BC">
            <w:pPr>
              <w:rPr>
                <w:sz w:val="22"/>
              </w:rPr>
            </w:pPr>
            <w:r>
              <w:rPr>
                <w:sz w:val="22"/>
              </w:rPr>
              <w:t xml:space="preserve">  </w:t>
            </w:r>
            <w:r w:rsidRPr="00B23161">
              <w:rPr>
                <w:sz w:val="22"/>
              </w:rPr>
              <w:t>1 880 mil. €</w:t>
            </w:r>
          </w:p>
          <w:p w14:paraId="61D8055A" w14:textId="77777777" w:rsidR="00A477BC" w:rsidRPr="00B23161" w:rsidRDefault="00A477BC" w:rsidP="00A477BC">
            <w:pPr>
              <w:rPr>
                <w:sz w:val="22"/>
              </w:rPr>
            </w:pPr>
            <w:r>
              <w:rPr>
                <w:sz w:val="22"/>
              </w:rPr>
              <w:lastRenderedPageBreak/>
              <w:t xml:space="preserve">  </w:t>
            </w:r>
            <w:r w:rsidRPr="00B23161">
              <w:rPr>
                <w:sz w:val="22"/>
              </w:rPr>
              <w:t>6 253 mil. €</w:t>
            </w:r>
          </w:p>
          <w:p w14:paraId="37524116" w14:textId="77777777" w:rsidR="00A477BC" w:rsidRPr="00B23161" w:rsidRDefault="00A477BC" w:rsidP="00A477BC">
            <w:pPr>
              <w:rPr>
                <w:sz w:val="22"/>
              </w:rPr>
            </w:pPr>
            <w:r>
              <w:rPr>
                <w:sz w:val="22"/>
              </w:rPr>
              <w:t xml:space="preserve">     </w:t>
            </w:r>
            <w:r w:rsidRPr="00B23161">
              <w:rPr>
                <w:sz w:val="22"/>
              </w:rPr>
              <w:t>628 mil. €</w:t>
            </w:r>
          </w:p>
        </w:tc>
        <w:tc>
          <w:tcPr>
            <w:tcW w:w="618" w:type="pct"/>
          </w:tcPr>
          <w:p w14:paraId="6997B857" w14:textId="77777777" w:rsidR="00A477BC" w:rsidRDefault="00A477BC" w:rsidP="00A477BC">
            <w:pPr>
              <w:rPr>
                <w:sz w:val="22"/>
              </w:rPr>
            </w:pPr>
            <w:r>
              <w:rPr>
                <w:sz w:val="22"/>
              </w:rPr>
              <w:lastRenderedPageBreak/>
              <w:t xml:space="preserve">57 651,2 mil. </w:t>
            </w:r>
            <w:r w:rsidRPr="00B23161">
              <w:rPr>
                <w:sz w:val="22"/>
              </w:rPr>
              <w:t>€</w:t>
            </w:r>
            <w:r>
              <w:rPr>
                <w:sz w:val="22"/>
              </w:rPr>
              <w:t xml:space="preserve"> </w:t>
            </w:r>
          </w:p>
          <w:p w14:paraId="7C87C927" w14:textId="77777777" w:rsidR="00A477BC" w:rsidRDefault="00A477BC" w:rsidP="00A477BC">
            <w:pPr>
              <w:rPr>
                <w:sz w:val="22"/>
              </w:rPr>
            </w:pPr>
            <w:r>
              <w:rPr>
                <w:sz w:val="22"/>
              </w:rPr>
              <w:t xml:space="preserve">15 97710 mil. </w:t>
            </w:r>
            <w:r w:rsidRPr="00B23161">
              <w:rPr>
                <w:sz w:val="22"/>
              </w:rPr>
              <w:t>€</w:t>
            </w:r>
          </w:p>
          <w:p w14:paraId="003CDE6C" w14:textId="77777777" w:rsidR="00A477BC" w:rsidRDefault="00A477BC" w:rsidP="00A477BC">
            <w:pPr>
              <w:rPr>
                <w:sz w:val="22"/>
              </w:rPr>
            </w:pPr>
            <w:r>
              <w:rPr>
                <w:sz w:val="22"/>
              </w:rPr>
              <w:t>10 028,6 mil.</w:t>
            </w:r>
            <w:r w:rsidRPr="00B23161">
              <w:rPr>
                <w:sz w:val="22"/>
              </w:rPr>
              <w:t xml:space="preserve"> €</w:t>
            </w:r>
          </w:p>
          <w:p w14:paraId="3A2D9573" w14:textId="77777777" w:rsidR="00A477BC" w:rsidRDefault="00A477BC" w:rsidP="00A477BC">
            <w:pPr>
              <w:rPr>
                <w:sz w:val="22"/>
              </w:rPr>
            </w:pPr>
            <w:r>
              <w:rPr>
                <w:sz w:val="22"/>
              </w:rPr>
              <w:t xml:space="preserve">  2 007,4 mil.</w:t>
            </w:r>
            <w:r w:rsidRPr="00B23161">
              <w:rPr>
                <w:sz w:val="22"/>
              </w:rPr>
              <w:t xml:space="preserve"> €</w:t>
            </w:r>
          </w:p>
          <w:p w14:paraId="01CB29CF" w14:textId="77777777" w:rsidR="00A477BC" w:rsidRDefault="00A477BC" w:rsidP="00A477BC">
            <w:pPr>
              <w:rPr>
                <w:sz w:val="22"/>
              </w:rPr>
            </w:pPr>
            <w:r>
              <w:rPr>
                <w:sz w:val="22"/>
              </w:rPr>
              <w:lastRenderedPageBreak/>
              <w:t xml:space="preserve">  6 376,1 mil.</w:t>
            </w:r>
            <w:r w:rsidRPr="00B23161">
              <w:rPr>
                <w:sz w:val="22"/>
              </w:rPr>
              <w:t xml:space="preserve"> €</w:t>
            </w:r>
          </w:p>
          <w:p w14:paraId="6A0FA192" w14:textId="77777777" w:rsidR="00A477BC" w:rsidRPr="00B23161" w:rsidRDefault="00A477BC" w:rsidP="00A477BC">
            <w:pPr>
              <w:rPr>
                <w:sz w:val="22"/>
              </w:rPr>
            </w:pPr>
            <w:r>
              <w:rPr>
                <w:sz w:val="22"/>
              </w:rPr>
              <w:t xml:space="preserve">     819,5 mil. </w:t>
            </w:r>
            <w:r w:rsidRPr="00B23161">
              <w:rPr>
                <w:sz w:val="22"/>
              </w:rPr>
              <w:t>€</w:t>
            </w:r>
          </w:p>
        </w:tc>
        <w:tc>
          <w:tcPr>
            <w:tcW w:w="583" w:type="pct"/>
          </w:tcPr>
          <w:p w14:paraId="74B640CB" w14:textId="77777777" w:rsidR="00A477BC" w:rsidRDefault="00A477BC" w:rsidP="00A477BC">
            <w:pPr>
              <w:rPr>
                <w:sz w:val="22"/>
              </w:rPr>
            </w:pPr>
            <w:r>
              <w:rPr>
                <w:sz w:val="22"/>
              </w:rPr>
              <w:lastRenderedPageBreak/>
              <w:t>59 660,1 mil.</w:t>
            </w:r>
            <w:r w:rsidRPr="00B23161">
              <w:rPr>
                <w:sz w:val="22"/>
              </w:rPr>
              <w:t xml:space="preserve"> €</w:t>
            </w:r>
          </w:p>
          <w:p w14:paraId="0EE0AC07" w14:textId="77777777" w:rsidR="00A477BC" w:rsidRDefault="00A477BC" w:rsidP="00A477BC">
            <w:pPr>
              <w:rPr>
                <w:sz w:val="22"/>
              </w:rPr>
            </w:pPr>
            <w:r>
              <w:rPr>
                <w:sz w:val="22"/>
              </w:rPr>
              <w:t>16 425,5 mil.</w:t>
            </w:r>
            <w:r w:rsidRPr="00B23161">
              <w:rPr>
                <w:sz w:val="22"/>
              </w:rPr>
              <w:t xml:space="preserve"> €</w:t>
            </w:r>
          </w:p>
          <w:p w14:paraId="5C343AD2" w14:textId="77777777" w:rsidR="00A477BC" w:rsidRDefault="00A477BC" w:rsidP="00A477BC">
            <w:pPr>
              <w:rPr>
                <w:sz w:val="22"/>
              </w:rPr>
            </w:pPr>
            <w:r>
              <w:rPr>
                <w:sz w:val="22"/>
              </w:rPr>
              <w:t>10 372,2 mil.</w:t>
            </w:r>
            <w:r w:rsidRPr="00B23161">
              <w:rPr>
                <w:sz w:val="22"/>
              </w:rPr>
              <w:t xml:space="preserve"> €</w:t>
            </w:r>
          </w:p>
          <w:p w14:paraId="5AC15F8E" w14:textId="77777777" w:rsidR="00A477BC" w:rsidRDefault="00A477BC" w:rsidP="00A477BC">
            <w:pPr>
              <w:rPr>
                <w:sz w:val="22"/>
              </w:rPr>
            </w:pPr>
            <w:r>
              <w:rPr>
                <w:sz w:val="22"/>
              </w:rPr>
              <w:t xml:space="preserve">  1 532,1 mil. </w:t>
            </w:r>
            <w:r w:rsidRPr="00B23161">
              <w:rPr>
                <w:sz w:val="22"/>
              </w:rPr>
              <w:t>€</w:t>
            </w:r>
          </w:p>
          <w:p w14:paraId="477BBF8D" w14:textId="77777777" w:rsidR="00A477BC" w:rsidRDefault="00A477BC" w:rsidP="00A477BC">
            <w:pPr>
              <w:rPr>
                <w:sz w:val="22"/>
              </w:rPr>
            </w:pPr>
            <w:r>
              <w:rPr>
                <w:sz w:val="22"/>
              </w:rPr>
              <w:lastRenderedPageBreak/>
              <w:t xml:space="preserve">  6 718, 9mil. </w:t>
            </w:r>
            <w:r w:rsidRPr="00B23161">
              <w:rPr>
                <w:sz w:val="22"/>
              </w:rPr>
              <w:t>€</w:t>
            </w:r>
          </w:p>
          <w:p w14:paraId="71704C73" w14:textId="77777777" w:rsidR="00A477BC" w:rsidRPr="00B23161" w:rsidRDefault="00A477BC" w:rsidP="00A477BC">
            <w:pPr>
              <w:rPr>
                <w:sz w:val="22"/>
              </w:rPr>
            </w:pPr>
            <w:r>
              <w:rPr>
                <w:sz w:val="22"/>
              </w:rPr>
              <w:t xml:space="preserve">     835,9 mil.</w:t>
            </w:r>
            <w:r w:rsidRPr="00B23161">
              <w:rPr>
                <w:sz w:val="22"/>
              </w:rPr>
              <w:t xml:space="preserve"> €</w:t>
            </w:r>
          </w:p>
        </w:tc>
      </w:tr>
      <w:tr w:rsidR="00A477BC" w:rsidRPr="00B17BA1" w14:paraId="2A9E1098" w14:textId="77777777" w:rsidTr="00A477BC">
        <w:trPr>
          <w:trHeight w:val="986"/>
        </w:trPr>
        <w:tc>
          <w:tcPr>
            <w:tcW w:w="537" w:type="pct"/>
            <w:vAlign w:val="center"/>
          </w:tcPr>
          <w:p w14:paraId="1FCD0335" w14:textId="77777777" w:rsidR="00A477BC" w:rsidRPr="00B23161" w:rsidRDefault="00A477BC" w:rsidP="00A477BC">
            <w:pPr>
              <w:jc w:val="center"/>
              <w:rPr>
                <w:sz w:val="22"/>
              </w:rPr>
            </w:pPr>
            <w:r w:rsidRPr="00B23161">
              <w:rPr>
                <w:sz w:val="22"/>
              </w:rPr>
              <w:lastRenderedPageBreak/>
              <w:t>Diverzifikácia komoditnej štruktúry exportu</w:t>
            </w:r>
          </w:p>
        </w:tc>
        <w:tc>
          <w:tcPr>
            <w:tcW w:w="1718" w:type="pct"/>
            <w:vAlign w:val="center"/>
          </w:tcPr>
          <w:p w14:paraId="1700D236" w14:textId="77777777" w:rsidR="00A477BC" w:rsidRDefault="00A477BC" w:rsidP="00A477BC">
            <w:pPr>
              <w:rPr>
                <w:sz w:val="22"/>
              </w:rPr>
            </w:pPr>
            <w:r w:rsidRPr="00B23161">
              <w:rPr>
                <w:sz w:val="22"/>
              </w:rPr>
              <w:t xml:space="preserve">Export po odpočítaní exportu skupín </w:t>
            </w:r>
          </w:p>
          <w:p w14:paraId="158D1FD0" w14:textId="77777777" w:rsidR="00A477BC" w:rsidRPr="00B23161" w:rsidRDefault="00A477BC" w:rsidP="00A477BC">
            <w:pPr>
              <w:rPr>
                <w:sz w:val="22"/>
              </w:rPr>
            </w:pPr>
            <w:r w:rsidRPr="00B23161">
              <w:rPr>
                <w:sz w:val="22"/>
              </w:rPr>
              <w:t>HS85 a HS87</w:t>
            </w:r>
          </w:p>
          <w:p w14:paraId="620A18E5" w14:textId="77777777" w:rsidR="00A477BC" w:rsidRDefault="00A477BC" w:rsidP="00A477BC">
            <w:pPr>
              <w:rPr>
                <w:sz w:val="22"/>
              </w:rPr>
            </w:pPr>
            <w:r w:rsidRPr="00B23161">
              <w:rPr>
                <w:sz w:val="22"/>
              </w:rPr>
              <w:t xml:space="preserve">Export po odpočítaní vývozu TOP 10 </w:t>
            </w:r>
          </w:p>
          <w:p w14:paraId="3869FB15" w14:textId="77777777" w:rsidR="00A477BC" w:rsidRPr="00B23161" w:rsidRDefault="00A477BC" w:rsidP="00A477BC">
            <w:pPr>
              <w:rPr>
                <w:sz w:val="22"/>
              </w:rPr>
            </w:pPr>
            <w:r w:rsidRPr="00B23161">
              <w:rPr>
                <w:sz w:val="22"/>
              </w:rPr>
              <w:t xml:space="preserve">exportérov </w:t>
            </w:r>
          </w:p>
        </w:tc>
        <w:tc>
          <w:tcPr>
            <w:tcW w:w="514" w:type="pct"/>
          </w:tcPr>
          <w:p w14:paraId="54D23210" w14:textId="77777777" w:rsidR="00A477BC" w:rsidRPr="00B23161" w:rsidRDefault="00A477BC" w:rsidP="00A477BC">
            <w:pPr>
              <w:rPr>
                <w:sz w:val="22"/>
              </w:rPr>
            </w:pPr>
            <w:r w:rsidRPr="00B23161">
              <w:rPr>
                <w:sz w:val="22"/>
              </w:rPr>
              <w:t>35 091 mil. €</w:t>
            </w:r>
          </w:p>
          <w:p w14:paraId="1ED77D0F" w14:textId="77777777" w:rsidR="00A477BC" w:rsidRPr="00B23161" w:rsidRDefault="00A477BC" w:rsidP="00A477BC">
            <w:pPr>
              <w:rPr>
                <w:sz w:val="22"/>
              </w:rPr>
            </w:pPr>
          </w:p>
          <w:p w14:paraId="4BE57BD8" w14:textId="77777777" w:rsidR="00A477BC" w:rsidRPr="00B23161" w:rsidRDefault="00A477BC" w:rsidP="00A477BC">
            <w:pPr>
              <w:rPr>
                <w:sz w:val="22"/>
              </w:rPr>
            </w:pPr>
            <w:r w:rsidRPr="00B23161">
              <w:rPr>
                <w:sz w:val="22"/>
              </w:rPr>
              <w:t>36 791 mil. €</w:t>
            </w:r>
          </w:p>
        </w:tc>
        <w:tc>
          <w:tcPr>
            <w:tcW w:w="515" w:type="pct"/>
          </w:tcPr>
          <w:p w14:paraId="3DCCEDAD" w14:textId="77777777" w:rsidR="00A477BC" w:rsidRPr="00B23161" w:rsidRDefault="00A477BC" w:rsidP="00A477BC">
            <w:pPr>
              <w:rPr>
                <w:sz w:val="22"/>
              </w:rPr>
            </w:pPr>
            <w:r w:rsidRPr="00B23161">
              <w:rPr>
                <w:sz w:val="22"/>
              </w:rPr>
              <w:t>34 812 mil. €</w:t>
            </w:r>
          </w:p>
          <w:p w14:paraId="79C6E860" w14:textId="77777777" w:rsidR="00A477BC" w:rsidRPr="00B23161" w:rsidRDefault="00A477BC" w:rsidP="00A477BC">
            <w:pPr>
              <w:rPr>
                <w:sz w:val="22"/>
              </w:rPr>
            </w:pPr>
          </w:p>
          <w:p w14:paraId="5ECDA59B" w14:textId="77777777" w:rsidR="00A477BC" w:rsidRPr="00B23161" w:rsidRDefault="00A477BC" w:rsidP="00A477BC">
            <w:pPr>
              <w:rPr>
                <w:sz w:val="22"/>
              </w:rPr>
            </w:pPr>
            <w:r w:rsidRPr="00B23161">
              <w:rPr>
                <w:sz w:val="22"/>
              </w:rPr>
              <w:t>36 685 mil. €</w:t>
            </w:r>
          </w:p>
        </w:tc>
        <w:tc>
          <w:tcPr>
            <w:tcW w:w="515" w:type="pct"/>
          </w:tcPr>
          <w:p w14:paraId="12571962" w14:textId="77777777" w:rsidR="00A477BC" w:rsidRPr="00567B6B" w:rsidRDefault="00A477BC" w:rsidP="00A477BC">
            <w:pPr>
              <w:rPr>
                <w:color w:val="000000" w:themeColor="text1"/>
                <w:sz w:val="22"/>
              </w:rPr>
            </w:pPr>
            <w:r w:rsidRPr="00567B6B">
              <w:rPr>
                <w:color w:val="000000" w:themeColor="text1"/>
                <w:sz w:val="22"/>
              </w:rPr>
              <w:t>35 052 mil. €</w:t>
            </w:r>
          </w:p>
          <w:p w14:paraId="3275718F" w14:textId="77777777" w:rsidR="00A477BC" w:rsidRPr="00B23161" w:rsidRDefault="00A477BC" w:rsidP="00A477BC">
            <w:pPr>
              <w:rPr>
                <w:sz w:val="22"/>
              </w:rPr>
            </w:pPr>
          </w:p>
          <w:p w14:paraId="5E925430" w14:textId="77777777" w:rsidR="00A477BC" w:rsidRPr="00B23161" w:rsidRDefault="00A477BC" w:rsidP="00A477BC">
            <w:pPr>
              <w:rPr>
                <w:sz w:val="22"/>
              </w:rPr>
            </w:pPr>
            <w:r w:rsidRPr="00B23161">
              <w:rPr>
                <w:sz w:val="22"/>
              </w:rPr>
              <w:t>38 141 mil. €</w:t>
            </w:r>
          </w:p>
        </w:tc>
        <w:tc>
          <w:tcPr>
            <w:tcW w:w="618" w:type="pct"/>
          </w:tcPr>
          <w:p w14:paraId="2EB49C17" w14:textId="77777777" w:rsidR="00A477BC" w:rsidRDefault="00A477BC" w:rsidP="00A477BC">
            <w:pPr>
              <w:rPr>
                <w:sz w:val="22"/>
              </w:rPr>
            </w:pPr>
            <w:r>
              <w:rPr>
                <w:sz w:val="22"/>
              </w:rPr>
              <w:t>35 419,9 mil.</w:t>
            </w:r>
            <w:r w:rsidRPr="00B23161">
              <w:rPr>
                <w:sz w:val="22"/>
              </w:rPr>
              <w:t xml:space="preserve"> €</w:t>
            </w:r>
          </w:p>
          <w:p w14:paraId="61D4F259" w14:textId="77777777" w:rsidR="00A477BC" w:rsidRDefault="00A477BC" w:rsidP="00A477BC">
            <w:pPr>
              <w:rPr>
                <w:sz w:val="22"/>
              </w:rPr>
            </w:pPr>
          </w:p>
          <w:p w14:paraId="416231EC" w14:textId="77777777" w:rsidR="00A477BC" w:rsidRPr="00B23161" w:rsidRDefault="00A477BC" w:rsidP="00A477BC">
            <w:pPr>
              <w:rPr>
                <w:sz w:val="22"/>
              </w:rPr>
            </w:pPr>
            <w:r>
              <w:rPr>
                <w:sz w:val="22"/>
              </w:rPr>
              <w:t>39 673,1 mil.</w:t>
            </w:r>
            <w:r w:rsidRPr="00B23161">
              <w:rPr>
                <w:sz w:val="22"/>
              </w:rPr>
              <w:t xml:space="preserve"> €</w:t>
            </w:r>
          </w:p>
        </w:tc>
        <w:tc>
          <w:tcPr>
            <w:tcW w:w="583" w:type="pct"/>
          </w:tcPr>
          <w:p w14:paraId="6F2212A8" w14:textId="77777777" w:rsidR="00A477BC" w:rsidRDefault="00A477BC" w:rsidP="00A477BC">
            <w:pPr>
              <w:rPr>
                <w:sz w:val="22"/>
              </w:rPr>
            </w:pPr>
            <w:r>
              <w:rPr>
                <w:sz w:val="22"/>
              </w:rPr>
              <w:t>35 723,9 mil.</w:t>
            </w:r>
            <w:r w:rsidRPr="00B23161">
              <w:rPr>
                <w:sz w:val="22"/>
              </w:rPr>
              <w:t xml:space="preserve"> €</w:t>
            </w:r>
          </w:p>
          <w:p w14:paraId="0932B4C4" w14:textId="77777777" w:rsidR="00A477BC" w:rsidRDefault="00A477BC" w:rsidP="00A477BC">
            <w:pPr>
              <w:rPr>
                <w:sz w:val="22"/>
              </w:rPr>
            </w:pPr>
          </w:p>
          <w:p w14:paraId="794D6EBC" w14:textId="77777777" w:rsidR="00A477BC" w:rsidRPr="00B23161" w:rsidRDefault="00A477BC" w:rsidP="00A477BC">
            <w:pPr>
              <w:rPr>
                <w:sz w:val="22"/>
              </w:rPr>
            </w:pPr>
            <w:r>
              <w:rPr>
                <w:sz w:val="22"/>
              </w:rPr>
              <w:t>41 958,2 mil.</w:t>
            </w:r>
            <w:r w:rsidRPr="00B23161">
              <w:rPr>
                <w:sz w:val="22"/>
              </w:rPr>
              <w:t xml:space="preserve"> €</w:t>
            </w:r>
          </w:p>
        </w:tc>
      </w:tr>
      <w:tr w:rsidR="00A477BC" w:rsidRPr="00B17BA1" w14:paraId="22D59673" w14:textId="77777777" w:rsidTr="00A477BC">
        <w:trPr>
          <w:trHeight w:val="1540"/>
        </w:trPr>
        <w:tc>
          <w:tcPr>
            <w:tcW w:w="537" w:type="pct"/>
            <w:vAlign w:val="center"/>
          </w:tcPr>
          <w:p w14:paraId="0CEF5916" w14:textId="77777777" w:rsidR="00A477BC" w:rsidRPr="00B23161" w:rsidRDefault="00A477BC" w:rsidP="00A477BC">
            <w:pPr>
              <w:jc w:val="center"/>
              <w:rPr>
                <w:sz w:val="22"/>
              </w:rPr>
            </w:pPr>
            <w:r w:rsidRPr="00B23161">
              <w:rPr>
                <w:sz w:val="22"/>
              </w:rPr>
              <w:t>Zvýšiť podiel exportu MSP**</w:t>
            </w:r>
          </w:p>
        </w:tc>
        <w:tc>
          <w:tcPr>
            <w:tcW w:w="1718" w:type="pct"/>
            <w:vAlign w:val="center"/>
          </w:tcPr>
          <w:p w14:paraId="55394781" w14:textId="77777777" w:rsidR="00A477BC" w:rsidRPr="00B23161" w:rsidRDefault="00A477BC" w:rsidP="00A477BC">
            <w:pPr>
              <w:rPr>
                <w:sz w:val="22"/>
              </w:rPr>
            </w:pPr>
            <w:r w:rsidRPr="00B23161">
              <w:rPr>
                <w:sz w:val="22"/>
              </w:rPr>
              <w:t>Počet exportujúcich MSP***</w:t>
            </w:r>
          </w:p>
          <w:p w14:paraId="117907A4" w14:textId="77777777" w:rsidR="00A477BC" w:rsidRPr="00B23161" w:rsidRDefault="00A477BC" w:rsidP="00A477BC">
            <w:pPr>
              <w:rPr>
                <w:sz w:val="22"/>
              </w:rPr>
            </w:pPr>
            <w:r w:rsidRPr="00B23161">
              <w:rPr>
                <w:sz w:val="22"/>
              </w:rPr>
              <w:t>Export MSP</w:t>
            </w:r>
          </w:p>
          <w:p w14:paraId="6B26E801" w14:textId="77777777" w:rsidR="00A477BC" w:rsidRDefault="00A477BC" w:rsidP="00A477BC">
            <w:pPr>
              <w:rPr>
                <w:sz w:val="22"/>
              </w:rPr>
            </w:pPr>
            <w:r w:rsidRPr="00B23161">
              <w:rPr>
                <w:sz w:val="22"/>
              </w:rPr>
              <w:t xml:space="preserve">Podiel exportujúcich MSP na celkovom </w:t>
            </w:r>
          </w:p>
          <w:p w14:paraId="4E9F6EDD" w14:textId="77777777" w:rsidR="00A477BC" w:rsidRPr="00B23161" w:rsidRDefault="00A477BC" w:rsidP="00A477BC">
            <w:pPr>
              <w:rPr>
                <w:sz w:val="22"/>
              </w:rPr>
            </w:pPr>
            <w:r w:rsidRPr="00B23161">
              <w:rPr>
                <w:sz w:val="22"/>
              </w:rPr>
              <w:t>počte MSP</w:t>
            </w:r>
          </w:p>
          <w:p w14:paraId="556D01E7" w14:textId="77777777" w:rsidR="00A477BC" w:rsidRDefault="00A477BC" w:rsidP="00A477BC">
            <w:pPr>
              <w:rPr>
                <w:sz w:val="22"/>
              </w:rPr>
            </w:pPr>
            <w:r w:rsidRPr="00B23161">
              <w:rPr>
                <w:sz w:val="22"/>
              </w:rPr>
              <w:t xml:space="preserve">Podiel exportujúcich MSP na celkovom </w:t>
            </w:r>
          </w:p>
          <w:p w14:paraId="51EEF127" w14:textId="77777777" w:rsidR="00A477BC" w:rsidRPr="00B23161" w:rsidRDefault="00A477BC" w:rsidP="00A477BC">
            <w:pPr>
              <w:rPr>
                <w:sz w:val="22"/>
              </w:rPr>
            </w:pPr>
            <w:r w:rsidRPr="00B23161">
              <w:rPr>
                <w:sz w:val="22"/>
              </w:rPr>
              <w:t>počte exportérov</w:t>
            </w:r>
          </w:p>
          <w:p w14:paraId="56A65722" w14:textId="77777777" w:rsidR="00A477BC" w:rsidRPr="00B23161" w:rsidRDefault="00A477BC" w:rsidP="00A477BC">
            <w:pPr>
              <w:rPr>
                <w:sz w:val="22"/>
              </w:rPr>
            </w:pPr>
            <w:r w:rsidRPr="00B23161">
              <w:rPr>
                <w:sz w:val="22"/>
              </w:rPr>
              <w:t>Podiel exportu MSP na celkovom objeme exportu</w:t>
            </w:r>
          </w:p>
        </w:tc>
        <w:tc>
          <w:tcPr>
            <w:tcW w:w="514" w:type="pct"/>
            <w:vAlign w:val="center"/>
          </w:tcPr>
          <w:p w14:paraId="466997C1" w14:textId="77777777" w:rsidR="00A477BC" w:rsidRPr="00B23161" w:rsidRDefault="00A477BC" w:rsidP="00A477BC">
            <w:pPr>
              <w:rPr>
                <w:sz w:val="22"/>
              </w:rPr>
            </w:pPr>
            <w:r w:rsidRPr="00B23161">
              <w:rPr>
                <w:sz w:val="22"/>
              </w:rPr>
              <w:t>27 666</w:t>
            </w:r>
          </w:p>
          <w:p w14:paraId="5BEFB03C" w14:textId="77777777" w:rsidR="00A477BC" w:rsidRDefault="00A477BC" w:rsidP="00A477BC">
            <w:pPr>
              <w:rPr>
                <w:sz w:val="22"/>
              </w:rPr>
            </w:pPr>
            <w:r w:rsidRPr="00B23161">
              <w:rPr>
                <w:sz w:val="22"/>
              </w:rPr>
              <w:t xml:space="preserve">17 411 mil. € </w:t>
            </w:r>
            <w:r>
              <w:rPr>
                <w:sz w:val="22"/>
              </w:rPr>
              <w:t xml:space="preserve">       </w:t>
            </w:r>
          </w:p>
          <w:p w14:paraId="1548E7EF" w14:textId="77777777" w:rsidR="00A477BC" w:rsidRDefault="00A477BC" w:rsidP="00A477BC">
            <w:pPr>
              <w:rPr>
                <w:sz w:val="22"/>
              </w:rPr>
            </w:pPr>
            <w:r>
              <w:rPr>
                <w:sz w:val="22"/>
              </w:rPr>
              <w:t xml:space="preserve">  5,0 %</w:t>
            </w:r>
          </w:p>
          <w:p w14:paraId="28F67226" w14:textId="77777777" w:rsidR="00A477BC" w:rsidRDefault="00A477BC" w:rsidP="00A477BC">
            <w:pPr>
              <w:rPr>
                <w:sz w:val="22"/>
              </w:rPr>
            </w:pPr>
          </w:p>
          <w:p w14:paraId="1185E9BC" w14:textId="77777777" w:rsidR="00A477BC" w:rsidRPr="00B23161" w:rsidRDefault="00A477BC" w:rsidP="00A477BC">
            <w:pPr>
              <w:rPr>
                <w:sz w:val="22"/>
              </w:rPr>
            </w:pPr>
            <w:r w:rsidRPr="00B23161">
              <w:rPr>
                <w:sz w:val="22"/>
              </w:rPr>
              <w:t>97,1%</w:t>
            </w:r>
          </w:p>
          <w:p w14:paraId="5964812D" w14:textId="77777777" w:rsidR="00A477BC" w:rsidRDefault="00A477BC" w:rsidP="00A477BC">
            <w:pPr>
              <w:rPr>
                <w:sz w:val="22"/>
              </w:rPr>
            </w:pPr>
          </w:p>
          <w:p w14:paraId="7FBC77CE" w14:textId="77777777" w:rsidR="00A477BC" w:rsidRPr="00B23161" w:rsidRDefault="00A477BC" w:rsidP="00A477BC">
            <w:pPr>
              <w:rPr>
                <w:sz w:val="22"/>
              </w:rPr>
            </w:pPr>
            <w:r w:rsidRPr="00B23161">
              <w:rPr>
                <w:sz w:val="22"/>
              </w:rPr>
              <w:t>27,8%</w:t>
            </w:r>
          </w:p>
        </w:tc>
        <w:tc>
          <w:tcPr>
            <w:tcW w:w="515" w:type="pct"/>
            <w:vAlign w:val="center"/>
          </w:tcPr>
          <w:p w14:paraId="7C4D1F94" w14:textId="77777777" w:rsidR="00A477BC" w:rsidRPr="00B23161" w:rsidRDefault="00A477BC" w:rsidP="00A477BC">
            <w:pPr>
              <w:rPr>
                <w:sz w:val="22"/>
              </w:rPr>
            </w:pPr>
            <w:r w:rsidRPr="00B23161">
              <w:rPr>
                <w:sz w:val="22"/>
              </w:rPr>
              <w:t>28 515</w:t>
            </w:r>
          </w:p>
          <w:p w14:paraId="35C179CF" w14:textId="77777777" w:rsidR="00A477BC" w:rsidRPr="00B23161" w:rsidRDefault="00A477BC" w:rsidP="00A477BC">
            <w:pPr>
              <w:rPr>
                <w:sz w:val="22"/>
              </w:rPr>
            </w:pPr>
            <w:r w:rsidRPr="00B23161">
              <w:rPr>
                <w:sz w:val="22"/>
              </w:rPr>
              <w:t>17 389 mil. €</w:t>
            </w:r>
          </w:p>
          <w:p w14:paraId="5A6ADC94" w14:textId="77777777" w:rsidR="00A477BC" w:rsidRPr="00B23161" w:rsidRDefault="00A477BC" w:rsidP="00A477BC">
            <w:pPr>
              <w:rPr>
                <w:sz w:val="22"/>
              </w:rPr>
            </w:pPr>
            <w:r>
              <w:rPr>
                <w:sz w:val="22"/>
              </w:rPr>
              <w:t xml:space="preserve">  </w:t>
            </w:r>
            <w:r w:rsidRPr="00B23161">
              <w:rPr>
                <w:sz w:val="22"/>
              </w:rPr>
              <w:t>5,1%</w:t>
            </w:r>
          </w:p>
          <w:p w14:paraId="509D0690" w14:textId="77777777" w:rsidR="00A477BC" w:rsidRDefault="00A477BC" w:rsidP="00A477BC">
            <w:pPr>
              <w:rPr>
                <w:sz w:val="22"/>
              </w:rPr>
            </w:pPr>
          </w:p>
          <w:p w14:paraId="33119243" w14:textId="77777777" w:rsidR="00A477BC" w:rsidRPr="00B23161" w:rsidRDefault="00A477BC" w:rsidP="00A477BC">
            <w:pPr>
              <w:rPr>
                <w:sz w:val="22"/>
              </w:rPr>
            </w:pPr>
            <w:r w:rsidRPr="00B23161">
              <w:rPr>
                <w:sz w:val="22"/>
              </w:rPr>
              <w:t>96,9%</w:t>
            </w:r>
          </w:p>
          <w:p w14:paraId="4424E6E9" w14:textId="77777777" w:rsidR="00A477BC" w:rsidRDefault="00A477BC" w:rsidP="00A477BC">
            <w:pPr>
              <w:rPr>
                <w:sz w:val="22"/>
              </w:rPr>
            </w:pPr>
          </w:p>
          <w:p w14:paraId="56BB58ED" w14:textId="77777777" w:rsidR="00A477BC" w:rsidRPr="00B23161" w:rsidRDefault="00A477BC" w:rsidP="00A477BC">
            <w:pPr>
              <w:rPr>
                <w:sz w:val="22"/>
              </w:rPr>
            </w:pPr>
            <w:r w:rsidRPr="00B23161">
              <w:rPr>
                <w:sz w:val="22"/>
              </w:rPr>
              <w:t>27,0%</w:t>
            </w:r>
          </w:p>
        </w:tc>
        <w:tc>
          <w:tcPr>
            <w:tcW w:w="515" w:type="pct"/>
          </w:tcPr>
          <w:p w14:paraId="6C4F6598" w14:textId="77777777" w:rsidR="00A477BC" w:rsidRPr="00B23161" w:rsidRDefault="00A477BC" w:rsidP="00A477BC">
            <w:pPr>
              <w:rPr>
                <w:sz w:val="22"/>
              </w:rPr>
            </w:pPr>
            <w:r w:rsidRPr="00B23161">
              <w:rPr>
                <w:sz w:val="22"/>
              </w:rPr>
              <w:t>29 284</w:t>
            </w:r>
          </w:p>
          <w:p w14:paraId="3CF96ED5" w14:textId="77777777" w:rsidR="00A477BC" w:rsidRPr="00B23161" w:rsidRDefault="00A477BC" w:rsidP="00A477BC">
            <w:pPr>
              <w:rPr>
                <w:sz w:val="22"/>
              </w:rPr>
            </w:pPr>
            <w:r w:rsidRPr="00B23161">
              <w:rPr>
                <w:sz w:val="22"/>
              </w:rPr>
              <w:t>17 292 mil. €</w:t>
            </w:r>
          </w:p>
          <w:p w14:paraId="481DA989" w14:textId="77777777" w:rsidR="00A477BC" w:rsidRPr="00B23161" w:rsidRDefault="00A477BC" w:rsidP="00A477BC">
            <w:pPr>
              <w:rPr>
                <w:sz w:val="22"/>
              </w:rPr>
            </w:pPr>
            <w:r>
              <w:rPr>
                <w:sz w:val="22"/>
              </w:rPr>
              <w:t xml:space="preserve">  </w:t>
            </w:r>
            <w:r w:rsidRPr="00B23161">
              <w:rPr>
                <w:sz w:val="22"/>
              </w:rPr>
              <w:t>5,2%</w:t>
            </w:r>
          </w:p>
          <w:p w14:paraId="34FDC38A" w14:textId="77777777" w:rsidR="00A477BC" w:rsidRDefault="00A477BC" w:rsidP="00A477BC">
            <w:pPr>
              <w:rPr>
                <w:sz w:val="22"/>
              </w:rPr>
            </w:pPr>
          </w:p>
          <w:p w14:paraId="064345A6" w14:textId="77777777" w:rsidR="00A477BC" w:rsidRPr="00B23161" w:rsidRDefault="00A477BC" w:rsidP="00A477BC">
            <w:pPr>
              <w:rPr>
                <w:sz w:val="22"/>
              </w:rPr>
            </w:pPr>
            <w:r w:rsidRPr="00B23161">
              <w:rPr>
                <w:sz w:val="22"/>
              </w:rPr>
              <w:t>96,6%</w:t>
            </w:r>
          </w:p>
          <w:p w14:paraId="5DD3B3D7" w14:textId="77777777" w:rsidR="00A477BC" w:rsidRDefault="00A477BC" w:rsidP="00A477BC">
            <w:pPr>
              <w:rPr>
                <w:sz w:val="22"/>
              </w:rPr>
            </w:pPr>
          </w:p>
          <w:p w14:paraId="1DA72456" w14:textId="77777777" w:rsidR="00A477BC" w:rsidRPr="00B23161" w:rsidRDefault="00A477BC" w:rsidP="00A477BC">
            <w:pPr>
              <w:rPr>
                <w:sz w:val="22"/>
              </w:rPr>
            </w:pPr>
            <w:r w:rsidRPr="00B23161">
              <w:rPr>
                <w:sz w:val="22"/>
              </w:rPr>
              <w:t>26,7%</w:t>
            </w:r>
          </w:p>
        </w:tc>
        <w:tc>
          <w:tcPr>
            <w:tcW w:w="618" w:type="pct"/>
            <w:vAlign w:val="center"/>
          </w:tcPr>
          <w:p w14:paraId="3029B9EE" w14:textId="77777777" w:rsidR="00A477BC" w:rsidRDefault="00A477BC" w:rsidP="00A477BC">
            <w:pPr>
              <w:rPr>
                <w:sz w:val="22"/>
              </w:rPr>
            </w:pPr>
            <w:r>
              <w:rPr>
                <w:sz w:val="22"/>
              </w:rPr>
              <w:t>29 495</w:t>
            </w:r>
          </w:p>
          <w:p w14:paraId="4BCEAC43" w14:textId="77777777" w:rsidR="00A477BC" w:rsidRDefault="00A477BC" w:rsidP="00A477BC">
            <w:pPr>
              <w:rPr>
                <w:sz w:val="22"/>
              </w:rPr>
            </w:pPr>
            <w:r>
              <w:rPr>
                <w:sz w:val="22"/>
              </w:rPr>
              <w:t xml:space="preserve">17 984,4 mil. </w:t>
            </w:r>
            <w:r w:rsidRPr="00B23161">
              <w:rPr>
                <w:sz w:val="22"/>
              </w:rPr>
              <w:t>€</w:t>
            </w:r>
          </w:p>
          <w:p w14:paraId="52B36725" w14:textId="77777777" w:rsidR="00A477BC" w:rsidRDefault="00A477BC" w:rsidP="00A477BC">
            <w:pPr>
              <w:rPr>
                <w:sz w:val="22"/>
              </w:rPr>
            </w:pPr>
            <w:r>
              <w:rPr>
                <w:sz w:val="22"/>
              </w:rPr>
              <w:t>5,6%</w:t>
            </w:r>
          </w:p>
          <w:p w14:paraId="4788EA5B" w14:textId="77777777" w:rsidR="00A477BC" w:rsidRDefault="00A477BC" w:rsidP="00A477BC">
            <w:pPr>
              <w:rPr>
                <w:sz w:val="22"/>
              </w:rPr>
            </w:pPr>
          </w:p>
          <w:p w14:paraId="6A937ED2" w14:textId="77777777" w:rsidR="00A477BC" w:rsidRDefault="00A477BC" w:rsidP="00A477BC">
            <w:pPr>
              <w:rPr>
                <w:sz w:val="22"/>
              </w:rPr>
            </w:pPr>
            <w:r>
              <w:rPr>
                <w:sz w:val="22"/>
              </w:rPr>
              <w:t>96,6%</w:t>
            </w:r>
          </w:p>
          <w:p w14:paraId="37752F5B" w14:textId="77777777" w:rsidR="00A477BC" w:rsidRDefault="00A477BC" w:rsidP="00A477BC">
            <w:pPr>
              <w:rPr>
                <w:sz w:val="22"/>
              </w:rPr>
            </w:pPr>
          </w:p>
          <w:p w14:paraId="25A69392" w14:textId="77777777" w:rsidR="00A477BC" w:rsidRPr="00B23161" w:rsidRDefault="00A477BC" w:rsidP="00A477BC">
            <w:pPr>
              <w:rPr>
                <w:sz w:val="22"/>
              </w:rPr>
            </w:pPr>
            <w:r>
              <w:rPr>
                <w:sz w:val="22"/>
              </w:rPr>
              <w:t>26,6%</w:t>
            </w:r>
          </w:p>
        </w:tc>
        <w:tc>
          <w:tcPr>
            <w:tcW w:w="583" w:type="pct"/>
          </w:tcPr>
          <w:p w14:paraId="027815E5" w14:textId="77777777" w:rsidR="00A477BC" w:rsidRDefault="00A477BC" w:rsidP="00A477BC">
            <w:pPr>
              <w:rPr>
                <w:sz w:val="22"/>
              </w:rPr>
            </w:pPr>
            <w:r>
              <w:rPr>
                <w:sz w:val="22"/>
              </w:rPr>
              <w:t>29 992</w:t>
            </w:r>
          </w:p>
          <w:p w14:paraId="53EC9B1A" w14:textId="77777777" w:rsidR="00A477BC" w:rsidRDefault="00A477BC" w:rsidP="00A477BC">
            <w:pPr>
              <w:rPr>
                <w:sz w:val="22"/>
              </w:rPr>
            </w:pPr>
            <w:r>
              <w:rPr>
                <w:sz w:val="22"/>
              </w:rPr>
              <w:t>17 957,7 mil.</w:t>
            </w:r>
            <w:r w:rsidRPr="00B23161">
              <w:rPr>
                <w:sz w:val="22"/>
              </w:rPr>
              <w:t xml:space="preserve"> €</w:t>
            </w:r>
          </w:p>
          <w:p w14:paraId="37071508" w14:textId="77777777" w:rsidR="00A477BC" w:rsidRDefault="00A477BC" w:rsidP="00A477BC">
            <w:pPr>
              <w:rPr>
                <w:sz w:val="22"/>
              </w:rPr>
            </w:pPr>
            <w:r>
              <w:rPr>
                <w:sz w:val="22"/>
              </w:rPr>
              <w:t>5,4%</w:t>
            </w:r>
          </w:p>
          <w:p w14:paraId="25BEA38F" w14:textId="77777777" w:rsidR="00A477BC" w:rsidRDefault="00A477BC" w:rsidP="00A477BC">
            <w:pPr>
              <w:rPr>
                <w:sz w:val="22"/>
              </w:rPr>
            </w:pPr>
          </w:p>
          <w:p w14:paraId="1D955BA6" w14:textId="77777777" w:rsidR="00A477BC" w:rsidRDefault="00A477BC" w:rsidP="00A477BC">
            <w:pPr>
              <w:rPr>
                <w:sz w:val="22"/>
              </w:rPr>
            </w:pPr>
            <w:r>
              <w:rPr>
                <w:sz w:val="22"/>
              </w:rPr>
              <w:t>96,6%</w:t>
            </w:r>
          </w:p>
          <w:p w14:paraId="05E9B9B6" w14:textId="77777777" w:rsidR="00A477BC" w:rsidRDefault="00A477BC" w:rsidP="00A477BC">
            <w:pPr>
              <w:rPr>
                <w:sz w:val="22"/>
              </w:rPr>
            </w:pPr>
          </w:p>
          <w:p w14:paraId="72863CC0" w14:textId="77777777" w:rsidR="00A477BC" w:rsidRPr="00B23161" w:rsidRDefault="00A477BC" w:rsidP="00A477BC">
            <w:pPr>
              <w:rPr>
                <w:sz w:val="22"/>
              </w:rPr>
            </w:pPr>
            <w:r>
              <w:rPr>
                <w:sz w:val="22"/>
              </w:rPr>
              <w:t>25,7%</w:t>
            </w:r>
          </w:p>
        </w:tc>
      </w:tr>
      <w:tr w:rsidR="00A477BC" w:rsidRPr="00B17BA1" w14:paraId="560C1B94" w14:textId="77777777" w:rsidTr="00A477BC">
        <w:trPr>
          <w:trHeight w:val="980"/>
        </w:trPr>
        <w:tc>
          <w:tcPr>
            <w:tcW w:w="537" w:type="pct"/>
            <w:vAlign w:val="center"/>
          </w:tcPr>
          <w:p w14:paraId="76F987A0" w14:textId="77777777" w:rsidR="00A477BC" w:rsidRPr="00B23161" w:rsidRDefault="00A477BC" w:rsidP="00A477BC">
            <w:pPr>
              <w:jc w:val="center"/>
              <w:rPr>
                <w:sz w:val="22"/>
              </w:rPr>
            </w:pPr>
            <w:r w:rsidRPr="00B23161">
              <w:rPr>
                <w:sz w:val="22"/>
              </w:rPr>
              <w:t>Zvýšiť podiel exportu služieb</w:t>
            </w:r>
          </w:p>
        </w:tc>
        <w:tc>
          <w:tcPr>
            <w:tcW w:w="1718" w:type="pct"/>
          </w:tcPr>
          <w:p w14:paraId="5DD4FAC3" w14:textId="77777777" w:rsidR="00A477BC" w:rsidRPr="00B23161" w:rsidRDefault="00A477BC" w:rsidP="00A477BC">
            <w:pPr>
              <w:rPr>
                <w:sz w:val="22"/>
              </w:rPr>
            </w:pPr>
            <w:r w:rsidRPr="00B23161">
              <w:rPr>
                <w:sz w:val="22"/>
              </w:rPr>
              <w:t>Export služieb spolu*</w:t>
            </w:r>
          </w:p>
          <w:p w14:paraId="4EA4EB6C" w14:textId="77777777" w:rsidR="00A477BC" w:rsidRPr="00B23161" w:rsidRDefault="00A477BC" w:rsidP="00A477BC">
            <w:pPr>
              <w:rPr>
                <w:sz w:val="22"/>
              </w:rPr>
            </w:pPr>
            <w:r w:rsidRPr="00B23161">
              <w:rPr>
                <w:sz w:val="22"/>
              </w:rPr>
              <w:t>Export služieb v cestovnom ruchu*</w:t>
            </w:r>
          </w:p>
          <w:p w14:paraId="27E86D3F" w14:textId="77777777" w:rsidR="00A477BC" w:rsidRPr="00B23161" w:rsidRDefault="00A477BC" w:rsidP="00A477BC">
            <w:pPr>
              <w:rPr>
                <w:sz w:val="22"/>
              </w:rPr>
            </w:pPr>
            <w:r w:rsidRPr="00B23161">
              <w:rPr>
                <w:sz w:val="22"/>
              </w:rPr>
              <w:t>Podiel exportu služieb na celkovom exporte*</w:t>
            </w:r>
          </w:p>
        </w:tc>
        <w:tc>
          <w:tcPr>
            <w:tcW w:w="514" w:type="pct"/>
          </w:tcPr>
          <w:p w14:paraId="1AB3C9A7" w14:textId="77777777" w:rsidR="00A477BC" w:rsidRPr="00B23161" w:rsidRDefault="00A477BC" w:rsidP="00A477BC">
            <w:pPr>
              <w:rPr>
                <w:sz w:val="22"/>
              </w:rPr>
            </w:pPr>
            <w:r>
              <w:rPr>
                <w:sz w:val="22"/>
              </w:rPr>
              <w:t>6 049</w:t>
            </w:r>
            <w:r w:rsidRPr="00B23161">
              <w:rPr>
                <w:sz w:val="22"/>
              </w:rPr>
              <w:t xml:space="preserve"> mil.</w:t>
            </w:r>
            <w:r>
              <w:rPr>
                <w:sz w:val="22"/>
              </w:rPr>
              <w:t xml:space="preserve"> </w:t>
            </w:r>
            <w:r w:rsidRPr="00B23161">
              <w:rPr>
                <w:sz w:val="22"/>
              </w:rPr>
              <w:t>€</w:t>
            </w:r>
          </w:p>
          <w:p w14:paraId="7E4BD53E" w14:textId="77777777" w:rsidR="00A477BC" w:rsidRPr="00B23161" w:rsidRDefault="00A477BC" w:rsidP="00A477BC">
            <w:pPr>
              <w:rPr>
                <w:sz w:val="22"/>
              </w:rPr>
            </w:pPr>
            <w:r w:rsidRPr="00B23161">
              <w:rPr>
                <w:sz w:val="22"/>
              </w:rPr>
              <w:t>1 789 mil. €</w:t>
            </w:r>
          </w:p>
          <w:p w14:paraId="3E40B9F6" w14:textId="77777777" w:rsidR="00A477BC" w:rsidRPr="00B23161" w:rsidRDefault="00A477BC" w:rsidP="00A477BC">
            <w:pPr>
              <w:rPr>
                <w:sz w:val="22"/>
              </w:rPr>
            </w:pPr>
            <w:r>
              <w:rPr>
                <w:sz w:val="22"/>
              </w:rPr>
              <w:t>9,1</w:t>
            </w:r>
            <w:r w:rsidRPr="00B23161">
              <w:rPr>
                <w:sz w:val="22"/>
              </w:rPr>
              <w:t>%</w:t>
            </w:r>
          </w:p>
        </w:tc>
        <w:tc>
          <w:tcPr>
            <w:tcW w:w="515" w:type="pct"/>
          </w:tcPr>
          <w:p w14:paraId="542AF7BF" w14:textId="77777777" w:rsidR="00A477BC" w:rsidRPr="00B23161" w:rsidRDefault="00A477BC" w:rsidP="00A477BC">
            <w:pPr>
              <w:rPr>
                <w:sz w:val="22"/>
              </w:rPr>
            </w:pPr>
            <w:r w:rsidRPr="00B23161">
              <w:rPr>
                <w:sz w:val="22"/>
              </w:rPr>
              <w:t>6</w:t>
            </w:r>
            <w:r>
              <w:rPr>
                <w:sz w:val="22"/>
              </w:rPr>
              <w:t> 965</w:t>
            </w:r>
            <w:r w:rsidRPr="00B23161">
              <w:rPr>
                <w:sz w:val="22"/>
              </w:rPr>
              <w:t xml:space="preserve"> mil. €</w:t>
            </w:r>
          </w:p>
          <w:p w14:paraId="0F6F2B03" w14:textId="77777777" w:rsidR="00A477BC" w:rsidRPr="00B23161" w:rsidRDefault="00A477BC" w:rsidP="00A477BC">
            <w:pPr>
              <w:rPr>
                <w:sz w:val="22"/>
              </w:rPr>
            </w:pPr>
            <w:r w:rsidRPr="00B23161">
              <w:rPr>
                <w:sz w:val="22"/>
              </w:rPr>
              <w:t>1 9</w:t>
            </w:r>
            <w:r>
              <w:rPr>
                <w:sz w:val="22"/>
              </w:rPr>
              <w:t>97</w:t>
            </w:r>
            <w:r w:rsidRPr="00B23161">
              <w:rPr>
                <w:sz w:val="22"/>
              </w:rPr>
              <w:t xml:space="preserve"> mil. €</w:t>
            </w:r>
          </w:p>
          <w:p w14:paraId="36D1D6A6" w14:textId="77777777" w:rsidR="00A477BC" w:rsidRPr="00B23161" w:rsidRDefault="00A477BC" w:rsidP="00A477BC">
            <w:pPr>
              <w:rPr>
                <w:sz w:val="22"/>
              </w:rPr>
            </w:pPr>
            <w:r>
              <w:rPr>
                <w:sz w:val="22"/>
              </w:rPr>
              <w:t>10,0</w:t>
            </w:r>
            <w:r w:rsidRPr="00B23161">
              <w:rPr>
                <w:sz w:val="22"/>
              </w:rPr>
              <w:t>%</w:t>
            </w:r>
          </w:p>
        </w:tc>
        <w:tc>
          <w:tcPr>
            <w:tcW w:w="515" w:type="pct"/>
          </w:tcPr>
          <w:p w14:paraId="2B247FDD" w14:textId="77777777" w:rsidR="00A477BC" w:rsidRPr="00B23161" w:rsidRDefault="00A477BC" w:rsidP="00A477BC">
            <w:pPr>
              <w:rPr>
                <w:sz w:val="22"/>
              </w:rPr>
            </w:pPr>
            <w:r w:rsidRPr="00B23161">
              <w:rPr>
                <w:sz w:val="22"/>
              </w:rPr>
              <w:t>6 </w:t>
            </w:r>
            <w:r>
              <w:rPr>
                <w:sz w:val="22"/>
              </w:rPr>
              <w:t>887</w:t>
            </w:r>
            <w:r w:rsidRPr="00B23161">
              <w:rPr>
                <w:sz w:val="22"/>
              </w:rPr>
              <w:t xml:space="preserve"> mil. €</w:t>
            </w:r>
          </w:p>
          <w:p w14:paraId="324A07CB" w14:textId="77777777" w:rsidR="00A477BC" w:rsidRPr="00B23161" w:rsidRDefault="00A477BC" w:rsidP="00A477BC">
            <w:pPr>
              <w:rPr>
                <w:sz w:val="22"/>
              </w:rPr>
            </w:pPr>
            <w:r w:rsidRPr="00B23161">
              <w:rPr>
                <w:sz w:val="22"/>
              </w:rPr>
              <w:t>1 9</w:t>
            </w:r>
            <w:r>
              <w:rPr>
                <w:sz w:val="22"/>
              </w:rPr>
              <w:t>58</w:t>
            </w:r>
            <w:r w:rsidRPr="00B23161">
              <w:rPr>
                <w:sz w:val="22"/>
              </w:rPr>
              <w:t xml:space="preserve"> mil. €</w:t>
            </w:r>
          </w:p>
          <w:p w14:paraId="5D19CDA9" w14:textId="77777777" w:rsidR="00A477BC" w:rsidRPr="00B23161" w:rsidRDefault="00A477BC" w:rsidP="00A477BC">
            <w:pPr>
              <w:rPr>
                <w:sz w:val="22"/>
              </w:rPr>
            </w:pPr>
            <w:r>
              <w:rPr>
                <w:sz w:val="22"/>
              </w:rPr>
              <w:t>9,9</w:t>
            </w:r>
            <w:r w:rsidRPr="00B23161">
              <w:rPr>
                <w:sz w:val="22"/>
              </w:rPr>
              <w:t>%</w:t>
            </w:r>
          </w:p>
        </w:tc>
        <w:tc>
          <w:tcPr>
            <w:tcW w:w="618" w:type="pct"/>
          </w:tcPr>
          <w:p w14:paraId="41F3C135" w14:textId="77777777" w:rsidR="00A477BC" w:rsidRDefault="00A477BC" w:rsidP="00A477BC">
            <w:pPr>
              <w:rPr>
                <w:sz w:val="22"/>
              </w:rPr>
            </w:pPr>
            <w:r>
              <w:rPr>
                <w:sz w:val="22"/>
              </w:rPr>
              <w:t>7 324 mil.</w:t>
            </w:r>
            <w:r w:rsidRPr="00B23161">
              <w:rPr>
                <w:sz w:val="22"/>
              </w:rPr>
              <w:t xml:space="preserve"> €</w:t>
            </w:r>
          </w:p>
          <w:p w14:paraId="3F47EEE9" w14:textId="77777777" w:rsidR="00A477BC" w:rsidRDefault="00A477BC" w:rsidP="00A477BC">
            <w:pPr>
              <w:rPr>
                <w:sz w:val="22"/>
              </w:rPr>
            </w:pPr>
            <w:r>
              <w:rPr>
                <w:sz w:val="22"/>
              </w:rPr>
              <w:t>2 192 mil</w:t>
            </w:r>
            <w:r w:rsidRPr="00B23161">
              <w:rPr>
                <w:sz w:val="22"/>
              </w:rPr>
              <w:t>. €</w:t>
            </w:r>
          </w:p>
          <w:p w14:paraId="45A5469F" w14:textId="77777777" w:rsidR="00A477BC" w:rsidRPr="00B23161" w:rsidRDefault="00A477BC" w:rsidP="00A477BC">
            <w:pPr>
              <w:rPr>
                <w:sz w:val="22"/>
              </w:rPr>
            </w:pPr>
            <w:r>
              <w:rPr>
                <w:sz w:val="22"/>
              </w:rPr>
              <w:t>10,18%</w:t>
            </w:r>
          </w:p>
        </w:tc>
        <w:tc>
          <w:tcPr>
            <w:tcW w:w="583" w:type="pct"/>
          </w:tcPr>
          <w:p w14:paraId="709323C4" w14:textId="77777777" w:rsidR="00A477BC" w:rsidRDefault="00A477BC" w:rsidP="00A477BC">
            <w:pPr>
              <w:rPr>
                <w:sz w:val="22"/>
              </w:rPr>
            </w:pPr>
            <w:r>
              <w:rPr>
                <w:sz w:val="22"/>
              </w:rPr>
              <w:t>7 680,0 mil.</w:t>
            </w:r>
            <w:r w:rsidRPr="00B23161">
              <w:rPr>
                <w:sz w:val="22"/>
              </w:rPr>
              <w:t xml:space="preserve"> €</w:t>
            </w:r>
          </w:p>
          <w:p w14:paraId="57D00685" w14:textId="77777777" w:rsidR="00A477BC" w:rsidRDefault="00A477BC" w:rsidP="00A477BC">
            <w:pPr>
              <w:rPr>
                <w:sz w:val="22"/>
              </w:rPr>
            </w:pPr>
            <w:r>
              <w:rPr>
                <w:sz w:val="22"/>
              </w:rPr>
              <w:t>2 482,8 mil.</w:t>
            </w:r>
            <w:r w:rsidRPr="00B23161">
              <w:rPr>
                <w:sz w:val="22"/>
              </w:rPr>
              <w:t xml:space="preserve"> €</w:t>
            </w:r>
          </w:p>
          <w:p w14:paraId="629700F1" w14:textId="77777777" w:rsidR="00A477BC" w:rsidRPr="00B23161" w:rsidRDefault="00A477BC" w:rsidP="00A477BC">
            <w:pPr>
              <w:rPr>
                <w:sz w:val="22"/>
              </w:rPr>
            </w:pPr>
            <w:r>
              <w:rPr>
                <w:sz w:val="22"/>
              </w:rPr>
              <w:t>10,26%</w:t>
            </w:r>
          </w:p>
        </w:tc>
      </w:tr>
    </w:tbl>
    <w:p w14:paraId="298AEA8A" w14:textId="77777777" w:rsidR="00A477BC" w:rsidRPr="008E1FB0" w:rsidRDefault="00A477BC" w:rsidP="00A477BC">
      <w:pPr>
        <w:ind w:left="-142"/>
        <w:jc w:val="both"/>
        <w:rPr>
          <w:sz w:val="16"/>
          <w:szCs w:val="16"/>
        </w:rPr>
      </w:pPr>
      <w:r w:rsidRPr="00B17BA1">
        <w:rPr>
          <w:sz w:val="18"/>
          <w:szCs w:val="20"/>
        </w:rPr>
        <w:t xml:space="preserve">*   </w:t>
      </w:r>
      <w:r>
        <w:rPr>
          <w:sz w:val="18"/>
          <w:szCs w:val="20"/>
        </w:rPr>
        <w:t xml:space="preserve">   </w:t>
      </w:r>
      <w:r w:rsidRPr="008E1FB0">
        <w:rPr>
          <w:sz w:val="16"/>
          <w:szCs w:val="16"/>
        </w:rPr>
        <w:t>NBS sleduje inkasá platieb za služby (a tovary) v rámci platobnej bilancie.</w:t>
      </w:r>
    </w:p>
    <w:p w14:paraId="51546794" w14:textId="77777777" w:rsidR="00A477BC" w:rsidRPr="0006283F" w:rsidRDefault="00A477BC" w:rsidP="00A477BC">
      <w:pPr>
        <w:ind w:left="284" w:hanging="426"/>
        <w:jc w:val="both"/>
        <w:rPr>
          <w:sz w:val="18"/>
          <w:szCs w:val="18"/>
        </w:rPr>
      </w:pPr>
      <w:r w:rsidRPr="008E1FB0">
        <w:rPr>
          <w:sz w:val="16"/>
          <w:szCs w:val="16"/>
        </w:rPr>
        <w:t xml:space="preserve">**  </w:t>
      </w:r>
      <w:r>
        <w:rPr>
          <w:sz w:val="16"/>
          <w:szCs w:val="16"/>
        </w:rPr>
        <w:t xml:space="preserve">    </w:t>
      </w:r>
      <w:r w:rsidRPr="008E1FB0">
        <w:rPr>
          <w:sz w:val="16"/>
          <w:szCs w:val="16"/>
        </w:rPr>
        <w:t xml:space="preserve">Podrobné informácie o postavení MSP v zahraničnom obchode z pohľadu veľkostných kategórií podnikov, komoditnej štruktúry, ekonomickej činnosti, regionálnej príslušnosti a teritoriálnej oblasti obchodu je </w:t>
      </w:r>
      <w:r>
        <w:rPr>
          <w:sz w:val="16"/>
          <w:szCs w:val="16"/>
        </w:rPr>
        <w:t xml:space="preserve"> </w:t>
      </w:r>
      <w:r w:rsidRPr="008E1FB0">
        <w:rPr>
          <w:sz w:val="16"/>
          <w:szCs w:val="16"/>
        </w:rPr>
        <w:t>predmetom pravidelného výstupu SBA „Postavenie MSP v zahraničnom obchode“, ktorý je spracovaný na základe definitívnych údajov za predchádzajúci kalendárny rok. Materiál je dostupný na web</w:t>
      </w:r>
      <w:r>
        <w:rPr>
          <w:sz w:val="16"/>
          <w:szCs w:val="16"/>
        </w:rPr>
        <w:t xml:space="preserve">ovej </w:t>
      </w:r>
      <w:r w:rsidRPr="008E1FB0">
        <w:rPr>
          <w:sz w:val="16"/>
          <w:szCs w:val="16"/>
        </w:rPr>
        <w:t xml:space="preserve">stránke </w:t>
      </w:r>
      <w:hyperlink r:id="rId27" w:history="1">
        <w:r w:rsidRPr="0006283F">
          <w:rPr>
            <w:rStyle w:val="Hypertextovprepojenie"/>
            <w:sz w:val="18"/>
            <w:szCs w:val="18"/>
          </w:rPr>
          <w:t>http://www.sbagency.sk/analyzy-slovenskeho-podnikatelskeho-prostredia</w:t>
        </w:r>
      </w:hyperlink>
      <w:r w:rsidRPr="0006283F">
        <w:rPr>
          <w:sz w:val="18"/>
          <w:szCs w:val="18"/>
        </w:rPr>
        <w:t>.</w:t>
      </w:r>
    </w:p>
    <w:p w14:paraId="2E16827E" w14:textId="05F81535" w:rsidR="00A477BC" w:rsidRPr="0006283F" w:rsidRDefault="00A477BC" w:rsidP="00A477BC">
      <w:pPr>
        <w:ind w:left="284" w:hanging="426"/>
        <w:jc w:val="both"/>
        <w:rPr>
          <w:sz w:val="18"/>
          <w:szCs w:val="18"/>
        </w:rPr>
      </w:pPr>
      <w:r w:rsidRPr="0006283F">
        <w:rPr>
          <w:sz w:val="18"/>
          <w:szCs w:val="18"/>
        </w:rPr>
        <w:t>***  Údaje zahraničného obchodu  za MSP sú spracované na základe údajov, z ktorých boli vylúčené operácie vykonávané zahraničnými osobami (z celkového vývozu tvorili 11,6 % a z celkového dovozu 8,6 % -  predbežné údaje 2016). Údaje za MSP za rok 2015 sú definitívne a údaje za rok 2016 sú predbežné dáta.</w:t>
      </w:r>
    </w:p>
    <w:p w14:paraId="3098DA91" w14:textId="77777777" w:rsidR="00A477BC" w:rsidRPr="008E1FB0" w:rsidRDefault="00A477BC" w:rsidP="00A477BC">
      <w:pPr>
        <w:jc w:val="both"/>
        <w:rPr>
          <w:sz w:val="16"/>
          <w:szCs w:val="16"/>
        </w:rPr>
      </w:pPr>
    </w:p>
    <w:p w14:paraId="7305A864" w14:textId="77777777" w:rsidR="00A477BC" w:rsidRPr="000C70A8" w:rsidRDefault="00A477BC" w:rsidP="00A477BC"/>
    <w:p w14:paraId="3B19FB9D" w14:textId="77777777" w:rsidR="00A477BC" w:rsidRPr="000C70A8" w:rsidRDefault="00A477BC" w:rsidP="00A477BC"/>
    <w:p w14:paraId="6ED69677" w14:textId="77777777" w:rsidR="00A477BC" w:rsidRPr="000C70A8" w:rsidRDefault="00A477BC" w:rsidP="00A477BC"/>
    <w:sectPr w:rsidR="00A477BC" w:rsidRPr="000C70A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E69A65" w14:textId="77777777" w:rsidR="00F849A5" w:rsidRDefault="00F849A5" w:rsidP="002A7510">
      <w:r>
        <w:separator/>
      </w:r>
    </w:p>
  </w:endnote>
  <w:endnote w:type="continuationSeparator" w:id="0">
    <w:p w14:paraId="10CB10B6" w14:textId="77777777" w:rsidR="00F849A5" w:rsidRDefault="00F849A5" w:rsidP="002A7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Roman Times">
    <w:altName w:val="Times New Roman"/>
    <w:panose1 w:val="00000000000000000000"/>
    <w:charset w:val="00"/>
    <w:family w:val="roman"/>
    <w:notTrueType/>
    <w:pitch w:val="default"/>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49A00E" w14:textId="77777777" w:rsidR="00F849A5" w:rsidRDefault="00F849A5" w:rsidP="002A7510">
      <w:r>
        <w:separator/>
      </w:r>
    </w:p>
  </w:footnote>
  <w:footnote w:type="continuationSeparator" w:id="0">
    <w:p w14:paraId="12D60C34" w14:textId="77777777" w:rsidR="00F849A5" w:rsidRDefault="00F849A5" w:rsidP="002A7510">
      <w:r>
        <w:continuationSeparator/>
      </w:r>
    </w:p>
  </w:footnote>
  <w:footnote w:id="1">
    <w:p w14:paraId="47A7C467" w14:textId="77777777" w:rsidR="00F575CB" w:rsidRDefault="00F575CB" w:rsidP="00F575CB">
      <w:pPr>
        <w:pStyle w:val="Textpoznmkypodiarou"/>
      </w:pPr>
      <w:r>
        <w:rPr>
          <w:rStyle w:val="Odkaznapoznmkupodiarou"/>
        </w:rPr>
        <w:footnoteRef/>
      </w:r>
      <w:r>
        <w:t xml:space="preserve"> </w:t>
      </w:r>
      <w:proofErr w:type="spellStart"/>
      <w:r w:rsidRPr="00FC3692">
        <w:rPr>
          <w:sz w:val="18"/>
        </w:rPr>
        <w:t>Projects</w:t>
      </w:r>
      <w:proofErr w:type="spellEnd"/>
      <w:r w:rsidRPr="00FC3692">
        <w:rPr>
          <w:sz w:val="18"/>
        </w:rPr>
        <w:t xml:space="preserve"> </w:t>
      </w:r>
      <w:proofErr w:type="spellStart"/>
      <w:r w:rsidRPr="00FC3692">
        <w:rPr>
          <w:sz w:val="18"/>
        </w:rPr>
        <w:t>of</w:t>
      </w:r>
      <w:proofErr w:type="spellEnd"/>
      <w:r w:rsidRPr="00FC3692">
        <w:rPr>
          <w:sz w:val="18"/>
        </w:rPr>
        <w:t xml:space="preserve"> </w:t>
      </w:r>
      <w:proofErr w:type="spellStart"/>
      <w:r w:rsidRPr="00FC3692">
        <w:rPr>
          <w:sz w:val="18"/>
        </w:rPr>
        <w:t>common</w:t>
      </w:r>
      <w:proofErr w:type="spellEnd"/>
      <w:r w:rsidRPr="00FC3692">
        <w:rPr>
          <w:sz w:val="18"/>
        </w:rPr>
        <w:t xml:space="preserve"> </w:t>
      </w:r>
      <w:proofErr w:type="spellStart"/>
      <w:r w:rsidRPr="00FC3692">
        <w:rPr>
          <w:sz w:val="18"/>
        </w:rPr>
        <w:t>interest</w:t>
      </w:r>
      <w:proofErr w:type="spellEnd"/>
      <w:r>
        <w:rPr>
          <w:sz w:val="18"/>
        </w:rPr>
        <w:t xml:space="preserve"> (Projekty spoločného záujmu)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975A5"/>
    <w:multiLevelType w:val="hybridMultilevel"/>
    <w:tmpl w:val="1092F0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5F395218"/>
    <w:multiLevelType w:val="hybridMultilevel"/>
    <w:tmpl w:val="DE76067A"/>
    <w:lvl w:ilvl="0" w:tplc="7E6675BA">
      <w:start w:val="1"/>
      <w:numFmt w:val="decimal"/>
      <w:lvlText w:val="%1."/>
      <w:lvlJc w:val="left"/>
      <w:pPr>
        <w:ind w:left="380" w:hanging="360"/>
      </w:pPr>
      <w:rPr>
        <w:rFonts w:hint="default"/>
      </w:rPr>
    </w:lvl>
    <w:lvl w:ilvl="1" w:tplc="041B0019" w:tentative="1">
      <w:start w:val="1"/>
      <w:numFmt w:val="lowerLetter"/>
      <w:lvlText w:val="%2."/>
      <w:lvlJc w:val="left"/>
      <w:pPr>
        <w:ind w:left="1100" w:hanging="360"/>
      </w:pPr>
    </w:lvl>
    <w:lvl w:ilvl="2" w:tplc="041B001B" w:tentative="1">
      <w:start w:val="1"/>
      <w:numFmt w:val="lowerRoman"/>
      <w:lvlText w:val="%3."/>
      <w:lvlJc w:val="right"/>
      <w:pPr>
        <w:ind w:left="1820" w:hanging="180"/>
      </w:pPr>
    </w:lvl>
    <w:lvl w:ilvl="3" w:tplc="041B000F" w:tentative="1">
      <w:start w:val="1"/>
      <w:numFmt w:val="decimal"/>
      <w:lvlText w:val="%4."/>
      <w:lvlJc w:val="left"/>
      <w:pPr>
        <w:ind w:left="2540" w:hanging="360"/>
      </w:pPr>
    </w:lvl>
    <w:lvl w:ilvl="4" w:tplc="041B0019" w:tentative="1">
      <w:start w:val="1"/>
      <w:numFmt w:val="lowerLetter"/>
      <w:lvlText w:val="%5."/>
      <w:lvlJc w:val="left"/>
      <w:pPr>
        <w:ind w:left="3260" w:hanging="360"/>
      </w:pPr>
    </w:lvl>
    <w:lvl w:ilvl="5" w:tplc="041B001B" w:tentative="1">
      <w:start w:val="1"/>
      <w:numFmt w:val="lowerRoman"/>
      <w:lvlText w:val="%6."/>
      <w:lvlJc w:val="right"/>
      <w:pPr>
        <w:ind w:left="3980" w:hanging="180"/>
      </w:pPr>
    </w:lvl>
    <w:lvl w:ilvl="6" w:tplc="041B000F" w:tentative="1">
      <w:start w:val="1"/>
      <w:numFmt w:val="decimal"/>
      <w:lvlText w:val="%7."/>
      <w:lvlJc w:val="left"/>
      <w:pPr>
        <w:ind w:left="4700" w:hanging="360"/>
      </w:pPr>
    </w:lvl>
    <w:lvl w:ilvl="7" w:tplc="041B0019" w:tentative="1">
      <w:start w:val="1"/>
      <w:numFmt w:val="lowerLetter"/>
      <w:lvlText w:val="%8."/>
      <w:lvlJc w:val="left"/>
      <w:pPr>
        <w:ind w:left="5420" w:hanging="360"/>
      </w:pPr>
    </w:lvl>
    <w:lvl w:ilvl="8" w:tplc="041B001B" w:tentative="1">
      <w:start w:val="1"/>
      <w:numFmt w:val="lowerRoman"/>
      <w:lvlText w:val="%9."/>
      <w:lvlJc w:val="right"/>
      <w:pPr>
        <w:ind w:left="6140" w:hanging="180"/>
      </w:pPr>
    </w:lvl>
  </w:abstractNum>
  <w:abstractNum w:abstractNumId="2">
    <w:nsid w:val="7ABD06E0"/>
    <w:multiLevelType w:val="hybridMultilevel"/>
    <w:tmpl w:val="D2EC3EA6"/>
    <w:lvl w:ilvl="0" w:tplc="D79E715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7E72223D"/>
    <w:multiLevelType w:val="hybridMultilevel"/>
    <w:tmpl w:val="C91CC3AE"/>
    <w:lvl w:ilvl="0" w:tplc="60A8A87A">
      <w:start w:val="3"/>
      <w:numFmt w:val="bullet"/>
      <w:lvlText w:val="-"/>
      <w:lvlJc w:val="left"/>
      <w:pPr>
        <w:ind w:left="720" w:hanging="360"/>
      </w:pPr>
      <w:rPr>
        <w:rFonts w:ascii="Roman Times" w:eastAsiaTheme="minorHAnsi" w:hAnsi="Roman Time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95D"/>
    <w:rsid w:val="00010793"/>
    <w:rsid w:val="0004363D"/>
    <w:rsid w:val="0006283F"/>
    <w:rsid w:val="0006695D"/>
    <w:rsid w:val="000714B8"/>
    <w:rsid w:val="00097497"/>
    <w:rsid w:val="000A67C2"/>
    <w:rsid w:val="000B6F56"/>
    <w:rsid w:val="000C70A8"/>
    <w:rsid w:val="00113476"/>
    <w:rsid w:val="0017491F"/>
    <w:rsid w:val="00220707"/>
    <w:rsid w:val="00291D26"/>
    <w:rsid w:val="002A7510"/>
    <w:rsid w:val="00336BF5"/>
    <w:rsid w:val="00386C66"/>
    <w:rsid w:val="00400F77"/>
    <w:rsid w:val="00433751"/>
    <w:rsid w:val="00487985"/>
    <w:rsid w:val="0049417C"/>
    <w:rsid w:val="00581DA4"/>
    <w:rsid w:val="005940B5"/>
    <w:rsid w:val="005D561A"/>
    <w:rsid w:val="005E159D"/>
    <w:rsid w:val="00646D13"/>
    <w:rsid w:val="006560E3"/>
    <w:rsid w:val="006C41B7"/>
    <w:rsid w:val="006C5F6A"/>
    <w:rsid w:val="006E4610"/>
    <w:rsid w:val="006F28FD"/>
    <w:rsid w:val="006F756E"/>
    <w:rsid w:val="0070419B"/>
    <w:rsid w:val="007056A3"/>
    <w:rsid w:val="007D216A"/>
    <w:rsid w:val="007F517F"/>
    <w:rsid w:val="008122CF"/>
    <w:rsid w:val="00887705"/>
    <w:rsid w:val="00927C02"/>
    <w:rsid w:val="00955F14"/>
    <w:rsid w:val="009757E9"/>
    <w:rsid w:val="00A477BC"/>
    <w:rsid w:val="00AA4F88"/>
    <w:rsid w:val="00AB20B6"/>
    <w:rsid w:val="00AE2ACD"/>
    <w:rsid w:val="00AE2B39"/>
    <w:rsid w:val="00B02937"/>
    <w:rsid w:val="00B1341B"/>
    <w:rsid w:val="00B17E07"/>
    <w:rsid w:val="00B5524E"/>
    <w:rsid w:val="00B67085"/>
    <w:rsid w:val="00BC3E5E"/>
    <w:rsid w:val="00C077AE"/>
    <w:rsid w:val="00C27F47"/>
    <w:rsid w:val="00CB0B84"/>
    <w:rsid w:val="00CF5B63"/>
    <w:rsid w:val="00D01F25"/>
    <w:rsid w:val="00D16F46"/>
    <w:rsid w:val="00D548FE"/>
    <w:rsid w:val="00D92E55"/>
    <w:rsid w:val="00DA207D"/>
    <w:rsid w:val="00DB54A7"/>
    <w:rsid w:val="00DC66C0"/>
    <w:rsid w:val="00DD07C7"/>
    <w:rsid w:val="00DE1705"/>
    <w:rsid w:val="00DF14ED"/>
    <w:rsid w:val="00E236C6"/>
    <w:rsid w:val="00E44C5E"/>
    <w:rsid w:val="00E96806"/>
    <w:rsid w:val="00EB1804"/>
    <w:rsid w:val="00F575CB"/>
    <w:rsid w:val="00F849A5"/>
    <w:rsid w:val="00FC27F0"/>
    <w:rsid w:val="00FD06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F1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96806"/>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C077A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386C6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aliases w:val="Podúloha"/>
    <w:basedOn w:val="Normlny"/>
    <w:next w:val="Normlny"/>
    <w:link w:val="Nadpis3Char"/>
    <w:uiPriority w:val="9"/>
    <w:unhideWhenUsed/>
    <w:qFormat/>
    <w:rsid w:val="002A7510"/>
    <w:pPr>
      <w:keepNext/>
      <w:keepLines/>
      <w:spacing w:before="200"/>
      <w:outlineLvl w:val="2"/>
    </w:pPr>
    <w:rPr>
      <w:rFonts w:asciiTheme="majorHAnsi" w:eastAsiaTheme="majorEastAsia" w:hAnsiTheme="majorHAnsi" w:cstheme="majorBidi"/>
      <w:b/>
      <w:bCs/>
      <w:color w:val="44546A" w:themeColor="text2"/>
      <w:sz w:val="28"/>
    </w:rPr>
  </w:style>
  <w:style w:type="paragraph" w:styleId="Nadpis4">
    <w:name w:val="heading 4"/>
    <w:basedOn w:val="Normlny"/>
    <w:next w:val="Normlny"/>
    <w:link w:val="Nadpis4Char"/>
    <w:uiPriority w:val="9"/>
    <w:unhideWhenUsed/>
    <w:qFormat/>
    <w:rsid w:val="00386C66"/>
    <w:pPr>
      <w:keepNext/>
      <w:keepLines/>
      <w:spacing w:before="200"/>
      <w:outlineLvl w:val="3"/>
    </w:pPr>
    <w:rPr>
      <w:rFonts w:asciiTheme="majorHAnsi" w:eastAsiaTheme="majorEastAsia" w:hAnsiTheme="majorHAnsi" w:cstheme="majorBidi"/>
      <w:b/>
      <w:bCs/>
      <w:i/>
      <w:iCs/>
      <w:color w:val="5B9BD5" w:themeColor="accent1"/>
    </w:rPr>
  </w:style>
  <w:style w:type="paragraph" w:styleId="Nadpis5">
    <w:name w:val="heading 5"/>
    <w:basedOn w:val="Normlny"/>
    <w:next w:val="Normlny"/>
    <w:link w:val="Nadpis5Char"/>
    <w:uiPriority w:val="9"/>
    <w:unhideWhenUsed/>
    <w:qFormat/>
    <w:rsid w:val="00386C66"/>
    <w:pPr>
      <w:keepNext/>
      <w:keepLines/>
      <w:spacing w:before="200"/>
      <w:outlineLvl w:val="4"/>
    </w:pPr>
    <w:rPr>
      <w:rFonts w:asciiTheme="majorHAnsi" w:eastAsiaTheme="majorEastAsia" w:hAnsiTheme="majorHAnsi" w:cstheme="majorBidi"/>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985"/>
    <w:rPr>
      <w:sz w:val="16"/>
      <w:szCs w:val="16"/>
    </w:rPr>
  </w:style>
  <w:style w:type="paragraph" w:styleId="Textkomentra">
    <w:name w:val="annotation text"/>
    <w:basedOn w:val="Normlny"/>
    <w:link w:val="TextkomentraChar"/>
    <w:uiPriority w:val="99"/>
    <w:semiHidden/>
    <w:unhideWhenUsed/>
    <w:rsid w:val="00487985"/>
    <w:rPr>
      <w:sz w:val="20"/>
      <w:szCs w:val="20"/>
    </w:rPr>
  </w:style>
  <w:style w:type="character" w:customStyle="1" w:styleId="TextkomentraChar">
    <w:name w:val="Text komentára Char"/>
    <w:basedOn w:val="Predvolenpsmoodseku"/>
    <w:link w:val="Textkomentra"/>
    <w:uiPriority w:val="99"/>
    <w:semiHidden/>
    <w:rsid w:val="00487985"/>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487985"/>
    <w:rPr>
      <w:b/>
      <w:bCs/>
    </w:rPr>
  </w:style>
  <w:style w:type="character" w:customStyle="1" w:styleId="PredmetkomentraChar">
    <w:name w:val="Predmet komentára Char"/>
    <w:basedOn w:val="TextkomentraChar"/>
    <w:link w:val="Predmetkomentra"/>
    <w:uiPriority w:val="99"/>
    <w:semiHidden/>
    <w:rsid w:val="00487985"/>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487985"/>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985"/>
    <w:rPr>
      <w:rFonts w:ascii="Segoe UI" w:eastAsia="Times New Roman" w:hAnsi="Segoe UI" w:cs="Segoe UI"/>
      <w:sz w:val="18"/>
      <w:szCs w:val="18"/>
      <w:lang w:eastAsia="sk-SK"/>
    </w:rPr>
  </w:style>
  <w:style w:type="paragraph" w:styleId="Zarkazkladnhotextu">
    <w:name w:val="Body Text Indent"/>
    <w:basedOn w:val="Normlny"/>
    <w:link w:val="ZarkazkladnhotextuChar"/>
    <w:rsid w:val="00D01F25"/>
    <w:pPr>
      <w:spacing w:after="120"/>
      <w:ind w:left="283"/>
    </w:pPr>
  </w:style>
  <w:style w:type="character" w:customStyle="1" w:styleId="ZarkazkladnhotextuChar">
    <w:name w:val="Zarážka základného textu Char"/>
    <w:basedOn w:val="Predvolenpsmoodseku"/>
    <w:link w:val="Zarkazkladnhotextu"/>
    <w:rsid w:val="00D01F25"/>
    <w:rPr>
      <w:rFonts w:ascii="Times New Roman" w:eastAsia="Times New Roman" w:hAnsi="Times New Roman" w:cs="Times New Roman"/>
      <w:sz w:val="24"/>
      <w:szCs w:val="24"/>
      <w:lang w:eastAsia="sk-SK"/>
    </w:rPr>
  </w:style>
  <w:style w:type="paragraph" w:customStyle="1" w:styleId="Default">
    <w:name w:val="Default"/>
    <w:rsid w:val="00D01F25"/>
    <w:pPr>
      <w:autoSpaceDE w:val="0"/>
      <w:autoSpaceDN w:val="0"/>
      <w:adjustRightInd w:val="0"/>
      <w:spacing w:after="0" w:line="240" w:lineRule="auto"/>
    </w:pPr>
    <w:rPr>
      <w:rFonts w:ascii="Verdana" w:hAnsi="Verdana" w:cs="Verdana"/>
      <w:color w:val="000000"/>
      <w:sz w:val="24"/>
      <w:szCs w:val="24"/>
    </w:rPr>
  </w:style>
  <w:style w:type="paragraph" w:styleId="Odsekzoznamu">
    <w:name w:val="List Paragraph"/>
    <w:basedOn w:val="Normlny"/>
    <w:uiPriority w:val="34"/>
    <w:qFormat/>
    <w:rsid w:val="002A7510"/>
    <w:pPr>
      <w:spacing w:after="160" w:line="259" w:lineRule="auto"/>
      <w:ind w:left="720"/>
      <w:contextualSpacing/>
    </w:pPr>
    <w:rPr>
      <w:rFonts w:eastAsiaTheme="minorHAnsi" w:cstheme="minorBidi"/>
      <w:szCs w:val="22"/>
      <w:lang w:eastAsia="en-US"/>
    </w:rPr>
  </w:style>
  <w:style w:type="character" w:styleId="Siln">
    <w:name w:val="Strong"/>
    <w:basedOn w:val="Predvolenpsmoodseku"/>
    <w:uiPriority w:val="22"/>
    <w:qFormat/>
    <w:rsid w:val="002A7510"/>
    <w:rPr>
      <w:b/>
      <w:bCs/>
    </w:rPr>
  </w:style>
  <w:style w:type="paragraph" w:styleId="Textpoznmkypodiarou">
    <w:name w:val="footnote text"/>
    <w:basedOn w:val="Normlny"/>
    <w:link w:val="TextpoznmkypodiarouChar"/>
    <w:uiPriority w:val="99"/>
    <w:unhideWhenUsed/>
    <w:rsid w:val="002A7510"/>
    <w:rPr>
      <w:sz w:val="20"/>
      <w:szCs w:val="20"/>
    </w:rPr>
  </w:style>
  <w:style w:type="character" w:customStyle="1" w:styleId="TextpoznmkypodiarouChar">
    <w:name w:val="Text poznámky pod čiarou Char"/>
    <w:basedOn w:val="Predvolenpsmoodseku"/>
    <w:link w:val="Textpoznmkypodiarou"/>
    <w:uiPriority w:val="99"/>
    <w:rsid w:val="002A7510"/>
    <w:rPr>
      <w:rFonts w:ascii="Times New Roman" w:eastAsia="Times New Roman" w:hAnsi="Times New Roman" w:cs="Times New Roman"/>
      <w:sz w:val="20"/>
      <w:szCs w:val="20"/>
      <w:lang w:eastAsia="sk-SK"/>
    </w:rPr>
  </w:style>
  <w:style w:type="character" w:customStyle="1" w:styleId="Nadpis3Char">
    <w:name w:val="Nadpis 3 Char"/>
    <w:aliases w:val="Podúloha Char"/>
    <w:basedOn w:val="Predvolenpsmoodseku"/>
    <w:link w:val="Nadpis3"/>
    <w:uiPriority w:val="9"/>
    <w:rsid w:val="002A7510"/>
    <w:rPr>
      <w:rFonts w:asciiTheme="majorHAnsi" w:eastAsiaTheme="majorEastAsia" w:hAnsiTheme="majorHAnsi" w:cstheme="majorBidi"/>
      <w:b/>
      <w:bCs/>
      <w:color w:val="44546A" w:themeColor="text2"/>
      <w:sz w:val="28"/>
      <w:szCs w:val="24"/>
      <w:lang w:eastAsia="sk-SK"/>
    </w:rPr>
  </w:style>
  <w:style w:type="character" w:styleId="Odkaznapoznmkupodiarou">
    <w:name w:val="footnote reference"/>
    <w:uiPriority w:val="99"/>
    <w:unhideWhenUsed/>
    <w:rsid w:val="002A7510"/>
    <w:rPr>
      <w:vertAlign w:val="superscript"/>
    </w:rPr>
  </w:style>
  <w:style w:type="paragraph" w:styleId="Obsah3">
    <w:name w:val="toc 3"/>
    <w:basedOn w:val="Normlny"/>
    <w:next w:val="Normlny"/>
    <w:autoRedefine/>
    <w:uiPriority w:val="39"/>
    <w:unhideWhenUsed/>
    <w:rsid w:val="00C077AE"/>
    <w:pPr>
      <w:spacing w:after="100"/>
      <w:ind w:left="480"/>
    </w:pPr>
  </w:style>
  <w:style w:type="paragraph" w:styleId="Obsah2">
    <w:name w:val="toc 2"/>
    <w:basedOn w:val="Normlny"/>
    <w:next w:val="Normlny"/>
    <w:autoRedefine/>
    <w:uiPriority w:val="39"/>
    <w:unhideWhenUsed/>
    <w:rsid w:val="00F575CB"/>
    <w:pPr>
      <w:tabs>
        <w:tab w:val="right" w:leader="dot" w:pos="9062"/>
      </w:tabs>
      <w:spacing w:after="100"/>
      <w:ind w:left="240"/>
    </w:pPr>
    <w:rPr>
      <w:rFonts w:eastAsiaTheme="majorEastAsia"/>
      <w:bCs/>
      <w:noProof/>
    </w:rPr>
  </w:style>
  <w:style w:type="character" w:styleId="Hypertextovprepojenie">
    <w:name w:val="Hyperlink"/>
    <w:basedOn w:val="Predvolenpsmoodseku"/>
    <w:uiPriority w:val="99"/>
    <w:unhideWhenUsed/>
    <w:rsid w:val="00C077AE"/>
    <w:rPr>
      <w:color w:val="0563C1" w:themeColor="hyperlink"/>
      <w:u w:val="single"/>
    </w:rPr>
  </w:style>
  <w:style w:type="character" w:customStyle="1" w:styleId="Nadpis1Char">
    <w:name w:val="Nadpis 1 Char"/>
    <w:basedOn w:val="Predvolenpsmoodseku"/>
    <w:link w:val="Nadpis1"/>
    <w:uiPriority w:val="9"/>
    <w:rsid w:val="00C077AE"/>
    <w:rPr>
      <w:rFonts w:asciiTheme="majorHAnsi" w:eastAsiaTheme="majorEastAsia" w:hAnsiTheme="majorHAnsi" w:cstheme="majorBidi"/>
      <w:b/>
      <w:bCs/>
      <w:color w:val="2E74B5" w:themeColor="accent1" w:themeShade="BF"/>
      <w:sz w:val="28"/>
      <w:szCs w:val="28"/>
      <w:lang w:eastAsia="sk-SK"/>
    </w:rPr>
  </w:style>
  <w:style w:type="paragraph" w:styleId="Hlavikaobsahu">
    <w:name w:val="TOC Heading"/>
    <w:basedOn w:val="Nadpis1"/>
    <w:next w:val="Normlny"/>
    <w:uiPriority w:val="39"/>
    <w:unhideWhenUsed/>
    <w:qFormat/>
    <w:rsid w:val="00C077AE"/>
    <w:pPr>
      <w:spacing w:line="276" w:lineRule="auto"/>
      <w:outlineLvl w:val="9"/>
    </w:pPr>
  </w:style>
  <w:style w:type="character" w:customStyle="1" w:styleId="Nadpis4Char">
    <w:name w:val="Nadpis 4 Char"/>
    <w:basedOn w:val="Predvolenpsmoodseku"/>
    <w:link w:val="Nadpis4"/>
    <w:uiPriority w:val="9"/>
    <w:rsid w:val="00386C66"/>
    <w:rPr>
      <w:rFonts w:asciiTheme="majorHAnsi" w:eastAsiaTheme="majorEastAsia" w:hAnsiTheme="majorHAnsi" w:cstheme="majorBidi"/>
      <w:b/>
      <w:bCs/>
      <w:i/>
      <w:iCs/>
      <w:color w:val="5B9BD5" w:themeColor="accent1"/>
      <w:sz w:val="24"/>
      <w:szCs w:val="24"/>
      <w:lang w:eastAsia="sk-SK"/>
    </w:rPr>
  </w:style>
  <w:style w:type="character" w:customStyle="1" w:styleId="Nadpis5Char">
    <w:name w:val="Nadpis 5 Char"/>
    <w:basedOn w:val="Predvolenpsmoodseku"/>
    <w:link w:val="Nadpis5"/>
    <w:uiPriority w:val="9"/>
    <w:rsid w:val="00386C66"/>
    <w:rPr>
      <w:rFonts w:asciiTheme="majorHAnsi" w:eastAsiaTheme="majorEastAsia" w:hAnsiTheme="majorHAnsi" w:cstheme="majorBidi"/>
      <w:color w:val="1F4D78" w:themeColor="accent1" w:themeShade="7F"/>
      <w:sz w:val="24"/>
      <w:szCs w:val="24"/>
      <w:lang w:eastAsia="sk-SK"/>
    </w:rPr>
  </w:style>
  <w:style w:type="character" w:customStyle="1" w:styleId="Nadpis2Char">
    <w:name w:val="Nadpis 2 Char"/>
    <w:basedOn w:val="Predvolenpsmoodseku"/>
    <w:link w:val="Nadpis2"/>
    <w:uiPriority w:val="9"/>
    <w:rsid w:val="00386C66"/>
    <w:rPr>
      <w:rFonts w:asciiTheme="majorHAnsi" w:eastAsiaTheme="majorEastAsia" w:hAnsiTheme="majorHAnsi" w:cstheme="majorBidi"/>
      <w:b/>
      <w:bCs/>
      <w:color w:val="5B9BD5" w:themeColor="accent1"/>
      <w:sz w:val="26"/>
      <w:szCs w:val="26"/>
      <w:lang w:eastAsia="sk-SK"/>
    </w:rPr>
  </w:style>
  <w:style w:type="paragraph" w:styleId="Obsah1">
    <w:name w:val="toc 1"/>
    <w:basedOn w:val="Normlny"/>
    <w:next w:val="Normlny"/>
    <w:autoRedefine/>
    <w:uiPriority w:val="39"/>
    <w:unhideWhenUsed/>
    <w:rsid w:val="00386C66"/>
    <w:pPr>
      <w:spacing w:after="100"/>
    </w:pPr>
  </w:style>
  <w:style w:type="paragraph" w:styleId="Hlavika">
    <w:name w:val="header"/>
    <w:basedOn w:val="Normlny"/>
    <w:link w:val="HlavikaChar"/>
    <w:uiPriority w:val="99"/>
    <w:unhideWhenUsed/>
    <w:rsid w:val="00955F14"/>
    <w:pPr>
      <w:tabs>
        <w:tab w:val="center" w:pos="4536"/>
        <w:tab w:val="right" w:pos="9072"/>
      </w:tabs>
    </w:pPr>
  </w:style>
  <w:style w:type="character" w:customStyle="1" w:styleId="HlavikaChar">
    <w:name w:val="Hlavička Char"/>
    <w:basedOn w:val="Predvolenpsmoodseku"/>
    <w:link w:val="Hlavika"/>
    <w:uiPriority w:val="99"/>
    <w:rsid w:val="00955F14"/>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955F14"/>
    <w:pPr>
      <w:tabs>
        <w:tab w:val="center" w:pos="4536"/>
        <w:tab w:val="right" w:pos="9072"/>
      </w:tabs>
    </w:pPr>
  </w:style>
  <w:style w:type="character" w:customStyle="1" w:styleId="PtaChar">
    <w:name w:val="Päta Char"/>
    <w:basedOn w:val="Predvolenpsmoodseku"/>
    <w:link w:val="Pta"/>
    <w:uiPriority w:val="99"/>
    <w:rsid w:val="00955F14"/>
    <w:rPr>
      <w:rFonts w:ascii="Times New Roman" w:eastAsia="Times New Roman" w:hAnsi="Times New Roman" w:cs="Times New Roman"/>
      <w:sz w:val="24"/>
      <w:szCs w:val="24"/>
      <w:lang w:eastAsia="sk-SK"/>
    </w:rPr>
  </w:style>
  <w:style w:type="character" w:styleId="PouitHypertextovPrepojenie">
    <w:name w:val="FollowedHyperlink"/>
    <w:basedOn w:val="Predvolenpsmoodseku"/>
    <w:uiPriority w:val="99"/>
    <w:semiHidden/>
    <w:unhideWhenUsed/>
    <w:rsid w:val="00646D1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96806"/>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C077A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386C6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aliases w:val="Podúloha"/>
    <w:basedOn w:val="Normlny"/>
    <w:next w:val="Normlny"/>
    <w:link w:val="Nadpis3Char"/>
    <w:uiPriority w:val="9"/>
    <w:unhideWhenUsed/>
    <w:qFormat/>
    <w:rsid w:val="002A7510"/>
    <w:pPr>
      <w:keepNext/>
      <w:keepLines/>
      <w:spacing w:before="200"/>
      <w:outlineLvl w:val="2"/>
    </w:pPr>
    <w:rPr>
      <w:rFonts w:asciiTheme="majorHAnsi" w:eastAsiaTheme="majorEastAsia" w:hAnsiTheme="majorHAnsi" w:cstheme="majorBidi"/>
      <w:b/>
      <w:bCs/>
      <w:color w:val="44546A" w:themeColor="text2"/>
      <w:sz w:val="28"/>
    </w:rPr>
  </w:style>
  <w:style w:type="paragraph" w:styleId="Nadpis4">
    <w:name w:val="heading 4"/>
    <w:basedOn w:val="Normlny"/>
    <w:next w:val="Normlny"/>
    <w:link w:val="Nadpis4Char"/>
    <w:uiPriority w:val="9"/>
    <w:unhideWhenUsed/>
    <w:qFormat/>
    <w:rsid w:val="00386C66"/>
    <w:pPr>
      <w:keepNext/>
      <w:keepLines/>
      <w:spacing w:before="200"/>
      <w:outlineLvl w:val="3"/>
    </w:pPr>
    <w:rPr>
      <w:rFonts w:asciiTheme="majorHAnsi" w:eastAsiaTheme="majorEastAsia" w:hAnsiTheme="majorHAnsi" w:cstheme="majorBidi"/>
      <w:b/>
      <w:bCs/>
      <w:i/>
      <w:iCs/>
      <w:color w:val="5B9BD5" w:themeColor="accent1"/>
    </w:rPr>
  </w:style>
  <w:style w:type="paragraph" w:styleId="Nadpis5">
    <w:name w:val="heading 5"/>
    <w:basedOn w:val="Normlny"/>
    <w:next w:val="Normlny"/>
    <w:link w:val="Nadpis5Char"/>
    <w:uiPriority w:val="9"/>
    <w:unhideWhenUsed/>
    <w:qFormat/>
    <w:rsid w:val="00386C66"/>
    <w:pPr>
      <w:keepNext/>
      <w:keepLines/>
      <w:spacing w:before="200"/>
      <w:outlineLvl w:val="4"/>
    </w:pPr>
    <w:rPr>
      <w:rFonts w:asciiTheme="majorHAnsi" w:eastAsiaTheme="majorEastAsia" w:hAnsiTheme="majorHAnsi" w:cstheme="majorBidi"/>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985"/>
    <w:rPr>
      <w:sz w:val="16"/>
      <w:szCs w:val="16"/>
    </w:rPr>
  </w:style>
  <w:style w:type="paragraph" w:styleId="Textkomentra">
    <w:name w:val="annotation text"/>
    <w:basedOn w:val="Normlny"/>
    <w:link w:val="TextkomentraChar"/>
    <w:uiPriority w:val="99"/>
    <w:semiHidden/>
    <w:unhideWhenUsed/>
    <w:rsid w:val="00487985"/>
    <w:rPr>
      <w:sz w:val="20"/>
      <w:szCs w:val="20"/>
    </w:rPr>
  </w:style>
  <w:style w:type="character" w:customStyle="1" w:styleId="TextkomentraChar">
    <w:name w:val="Text komentára Char"/>
    <w:basedOn w:val="Predvolenpsmoodseku"/>
    <w:link w:val="Textkomentra"/>
    <w:uiPriority w:val="99"/>
    <w:semiHidden/>
    <w:rsid w:val="00487985"/>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487985"/>
    <w:rPr>
      <w:b/>
      <w:bCs/>
    </w:rPr>
  </w:style>
  <w:style w:type="character" w:customStyle="1" w:styleId="PredmetkomentraChar">
    <w:name w:val="Predmet komentára Char"/>
    <w:basedOn w:val="TextkomentraChar"/>
    <w:link w:val="Predmetkomentra"/>
    <w:uiPriority w:val="99"/>
    <w:semiHidden/>
    <w:rsid w:val="00487985"/>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487985"/>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985"/>
    <w:rPr>
      <w:rFonts w:ascii="Segoe UI" w:eastAsia="Times New Roman" w:hAnsi="Segoe UI" w:cs="Segoe UI"/>
      <w:sz w:val="18"/>
      <w:szCs w:val="18"/>
      <w:lang w:eastAsia="sk-SK"/>
    </w:rPr>
  </w:style>
  <w:style w:type="paragraph" w:styleId="Zarkazkladnhotextu">
    <w:name w:val="Body Text Indent"/>
    <w:basedOn w:val="Normlny"/>
    <w:link w:val="ZarkazkladnhotextuChar"/>
    <w:rsid w:val="00D01F25"/>
    <w:pPr>
      <w:spacing w:after="120"/>
      <w:ind w:left="283"/>
    </w:pPr>
  </w:style>
  <w:style w:type="character" w:customStyle="1" w:styleId="ZarkazkladnhotextuChar">
    <w:name w:val="Zarážka základného textu Char"/>
    <w:basedOn w:val="Predvolenpsmoodseku"/>
    <w:link w:val="Zarkazkladnhotextu"/>
    <w:rsid w:val="00D01F25"/>
    <w:rPr>
      <w:rFonts w:ascii="Times New Roman" w:eastAsia="Times New Roman" w:hAnsi="Times New Roman" w:cs="Times New Roman"/>
      <w:sz w:val="24"/>
      <w:szCs w:val="24"/>
      <w:lang w:eastAsia="sk-SK"/>
    </w:rPr>
  </w:style>
  <w:style w:type="paragraph" w:customStyle="1" w:styleId="Default">
    <w:name w:val="Default"/>
    <w:rsid w:val="00D01F25"/>
    <w:pPr>
      <w:autoSpaceDE w:val="0"/>
      <w:autoSpaceDN w:val="0"/>
      <w:adjustRightInd w:val="0"/>
      <w:spacing w:after="0" w:line="240" w:lineRule="auto"/>
    </w:pPr>
    <w:rPr>
      <w:rFonts w:ascii="Verdana" w:hAnsi="Verdana" w:cs="Verdana"/>
      <w:color w:val="000000"/>
      <w:sz w:val="24"/>
      <w:szCs w:val="24"/>
    </w:rPr>
  </w:style>
  <w:style w:type="paragraph" w:styleId="Odsekzoznamu">
    <w:name w:val="List Paragraph"/>
    <w:basedOn w:val="Normlny"/>
    <w:uiPriority w:val="34"/>
    <w:qFormat/>
    <w:rsid w:val="002A7510"/>
    <w:pPr>
      <w:spacing w:after="160" w:line="259" w:lineRule="auto"/>
      <w:ind w:left="720"/>
      <w:contextualSpacing/>
    </w:pPr>
    <w:rPr>
      <w:rFonts w:eastAsiaTheme="minorHAnsi" w:cstheme="minorBidi"/>
      <w:szCs w:val="22"/>
      <w:lang w:eastAsia="en-US"/>
    </w:rPr>
  </w:style>
  <w:style w:type="character" w:styleId="Siln">
    <w:name w:val="Strong"/>
    <w:basedOn w:val="Predvolenpsmoodseku"/>
    <w:uiPriority w:val="22"/>
    <w:qFormat/>
    <w:rsid w:val="002A7510"/>
    <w:rPr>
      <w:b/>
      <w:bCs/>
    </w:rPr>
  </w:style>
  <w:style w:type="paragraph" w:styleId="Textpoznmkypodiarou">
    <w:name w:val="footnote text"/>
    <w:basedOn w:val="Normlny"/>
    <w:link w:val="TextpoznmkypodiarouChar"/>
    <w:uiPriority w:val="99"/>
    <w:unhideWhenUsed/>
    <w:rsid w:val="002A7510"/>
    <w:rPr>
      <w:sz w:val="20"/>
      <w:szCs w:val="20"/>
    </w:rPr>
  </w:style>
  <w:style w:type="character" w:customStyle="1" w:styleId="TextpoznmkypodiarouChar">
    <w:name w:val="Text poznámky pod čiarou Char"/>
    <w:basedOn w:val="Predvolenpsmoodseku"/>
    <w:link w:val="Textpoznmkypodiarou"/>
    <w:uiPriority w:val="99"/>
    <w:rsid w:val="002A7510"/>
    <w:rPr>
      <w:rFonts w:ascii="Times New Roman" w:eastAsia="Times New Roman" w:hAnsi="Times New Roman" w:cs="Times New Roman"/>
      <w:sz w:val="20"/>
      <w:szCs w:val="20"/>
      <w:lang w:eastAsia="sk-SK"/>
    </w:rPr>
  </w:style>
  <w:style w:type="character" w:customStyle="1" w:styleId="Nadpis3Char">
    <w:name w:val="Nadpis 3 Char"/>
    <w:aliases w:val="Podúloha Char"/>
    <w:basedOn w:val="Predvolenpsmoodseku"/>
    <w:link w:val="Nadpis3"/>
    <w:uiPriority w:val="9"/>
    <w:rsid w:val="002A7510"/>
    <w:rPr>
      <w:rFonts w:asciiTheme="majorHAnsi" w:eastAsiaTheme="majorEastAsia" w:hAnsiTheme="majorHAnsi" w:cstheme="majorBidi"/>
      <w:b/>
      <w:bCs/>
      <w:color w:val="44546A" w:themeColor="text2"/>
      <w:sz w:val="28"/>
      <w:szCs w:val="24"/>
      <w:lang w:eastAsia="sk-SK"/>
    </w:rPr>
  </w:style>
  <w:style w:type="character" w:styleId="Odkaznapoznmkupodiarou">
    <w:name w:val="footnote reference"/>
    <w:uiPriority w:val="99"/>
    <w:unhideWhenUsed/>
    <w:rsid w:val="002A7510"/>
    <w:rPr>
      <w:vertAlign w:val="superscript"/>
    </w:rPr>
  </w:style>
  <w:style w:type="paragraph" w:styleId="Obsah3">
    <w:name w:val="toc 3"/>
    <w:basedOn w:val="Normlny"/>
    <w:next w:val="Normlny"/>
    <w:autoRedefine/>
    <w:uiPriority w:val="39"/>
    <w:unhideWhenUsed/>
    <w:rsid w:val="00C077AE"/>
    <w:pPr>
      <w:spacing w:after="100"/>
      <w:ind w:left="480"/>
    </w:pPr>
  </w:style>
  <w:style w:type="paragraph" w:styleId="Obsah2">
    <w:name w:val="toc 2"/>
    <w:basedOn w:val="Normlny"/>
    <w:next w:val="Normlny"/>
    <w:autoRedefine/>
    <w:uiPriority w:val="39"/>
    <w:unhideWhenUsed/>
    <w:rsid w:val="00F575CB"/>
    <w:pPr>
      <w:tabs>
        <w:tab w:val="right" w:leader="dot" w:pos="9062"/>
      </w:tabs>
      <w:spacing w:after="100"/>
      <w:ind w:left="240"/>
    </w:pPr>
    <w:rPr>
      <w:rFonts w:eastAsiaTheme="majorEastAsia"/>
      <w:bCs/>
      <w:noProof/>
    </w:rPr>
  </w:style>
  <w:style w:type="character" w:styleId="Hypertextovprepojenie">
    <w:name w:val="Hyperlink"/>
    <w:basedOn w:val="Predvolenpsmoodseku"/>
    <w:uiPriority w:val="99"/>
    <w:unhideWhenUsed/>
    <w:rsid w:val="00C077AE"/>
    <w:rPr>
      <w:color w:val="0563C1" w:themeColor="hyperlink"/>
      <w:u w:val="single"/>
    </w:rPr>
  </w:style>
  <w:style w:type="character" w:customStyle="1" w:styleId="Nadpis1Char">
    <w:name w:val="Nadpis 1 Char"/>
    <w:basedOn w:val="Predvolenpsmoodseku"/>
    <w:link w:val="Nadpis1"/>
    <w:uiPriority w:val="9"/>
    <w:rsid w:val="00C077AE"/>
    <w:rPr>
      <w:rFonts w:asciiTheme="majorHAnsi" w:eastAsiaTheme="majorEastAsia" w:hAnsiTheme="majorHAnsi" w:cstheme="majorBidi"/>
      <w:b/>
      <w:bCs/>
      <w:color w:val="2E74B5" w:themeColor="accent1" w:themeShade="BF"/>
      <w:sz w:val="28"/>
      <w:szCs w:val="28"/>
      <w:lang w:eastAsia="sk-SK"/>
    </w:rPr>
  </w:style>
  <w:style w:type="paragraph" w:styleId="Hlavikaobsahu">
    <w:name w:val="TOC Heading"/>
    <w:basedOn w:val="Nadpis1"/>
    <w:next w:val="Normlny"/>
    <w:uiPriority w:val="39"/>
    <w:unhideWhenUsed/>
    <w:qFormat/>
    <w:rsid w:val="00C077AE"/>
    <w:pPr>
      <w:spacing w:line="276" w:lineRule="auto"/>
      <w:outlineLvl w:val="9"/>
    </w:pPr>
  </w:style>
  <w:style w:type="character" w:customStyle="1" w:styleId="Nadpis4Char">
    <w:name w:val="Nadpis 4 Char"/>
    <w:basedOn w:val="Predvolenpsmoodseku"/>
    <w:link w:val="Nadpis4"/>
    <w:uiPriority w:val="9"/>
    <w:rsid w:val="00386C66"/>
    <w:rPr>
      <w:rFonts w:asciiTheme="majorHAnsi" w:eastAsiaTheme="majorEastAsia" w:hAnsiTheme="majorHAnsi" w:cstheme="majorBidi"/>
      <w:b/>
      <w:bCs/>
      <w:i/>
      <w:iCs/>
      <w:color w:val="5B9BD5" w:themeColor="accent1"/>
      <w:sz w:val="24"/>
      <w:szCs w:val="24"/>
      <w:lang w:eastAsia="sk-SK"/>
    </w:rPr>
  </w:style>
  <w:style w:type="character" w:customStyle="1" w:styleId="Nadpis5Char">
    <w:name w:val="Nadpis 5 Char"/>
    <w:basedOn w:val="Predvolenpsmoodseku"/>
    <w:link w:val="Nadpis5"/>
    <w:uiPriority w:val="9"/>
    <w:rsid w:val="00386C66"/>
    <w:rPr>
      <w:rFonts w:asciiTheme="majorHAnsi" w:eastAsiaTheme="majorEastAsia" w:hAnsiTheme="majorHAnsi" w:cstheme="majorBidi"/>
      <w:color w:val="1F4D78" w:themeColor="accent1" w:themeShade="7F"/>
      <w:sz w:val="24"/>
      <w:szCs w:val="24"/>
      <w:lang w:eastAsia="sk-SK"/>
    </w:rPr>
  </w:style>
  <w:style w:type="character" w:customStyle="1" w:styleId="Nadpis2Char">
    <w:name w:val="Nadpis 2 Char"/>
    <w:basedOn w:val="Predvolenpsmoodseku"/>
    <w:link w:val="Nadpis2"/>
    <w:uiPriority w:val="9"/>
    <w:rsid w:val="00386C66"/>
    <w:rPr>
      <w:rFonts w:asciiTheme="majorHAnsi" w:eastAsiaTheme="majorEastAsia" w:hAnsiTheme="majorHAnsi" w:cstheme="majorBidi"/>
      <w:b/>
      <w:bCs/>
      <w:color w:val="5B9BD5" w:themeColor="accent1"/>
      <w:sz w:val="26"/>
      <w:szCs w:val="26"/>
      <w:lang w:eastAsia="sk-SK"/>
    </w:rPr>
  </w:style>
  <w:style w:type="paragraph" w:styleId="Obsah1">
    <w:name w:val="toc 1"/>
    <w:basedOn w:val="Normlny"/>
    <w:next w:val="Normlny"/>
    <w:autoRedefine/>
    <w:uiPriority w:val="39"/>
    <w:unhideWhenUsed/>
    <w:rsid w:val="00386C66"/>
    <w:pPr>
      <w:spacing w:after="100"/>
    </w:pPr>
  </w:style>
  <w:style w:type="paragraph" w:styleId="Hlavika">
    <w:name w:val="header"/>
    <w:basedOn w:val="Normlny"/>
    <w:link w:val="HlavikaChar"/>
    <w:uiPriority w:val="99"/>
    <w:unhideWhenUsed/>
    <w:rsid w:val="00955F14"/>
    <w:pPr>
      <w:tabs>
        <w:tab w:val="center" w:pos="4536"/>
        <w:tab w:val="right" w:pos="9072"/>
      </w:tabs>
    </w:pPr>
  </w:style>
  <w:style w:type="character" w:customStyle="1" w:styleId="HlavikaChar">
    <w:name w:val="Hlavička Char"/>
    <w:basedOn w:val="Predvolenpsmoodseku"/>
    <w:link w:val="Hlavika"/>
    <w:uiPriority w:val="99"/>
    <w:rsid w:val="00955F14"/>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955F14"/>
    <w:pPr>
      <w:tabs>
        <w:tab w:val="center" w:pos="4536"/>
        <w:tab w:val="right" w:pos="9072"/>
      </w:tabs>
    </w:pPr>
  </w:style>
  <w:style w:type="character" w:customStyle="1" w:styleId="PtaChar">
    <w:name w:val="Päta Char"/>
    <w:basedOn w:val="Predvolenpsmoodseku"/>
    <w:link w:val="Pta"/>
    <w:uiPriority w:val="99"/>
    <w:rsid w:val="00955F14"/>
    <w:rPr>
      <w:rFonts w:ascii="Times New Roman" w:eastAsia="Times New Roman" w:hAnsi="Times New Roman" w:cs="Times New Roman"/>
      <w:sz w:val="24"/>
      <w:szCs w:val="24"/>
      <w:lang w:eastAsia="sk-SK"/>
    </w:rPr>
  </w:style>
  <w:style w:type="character" w:styleId="PouitHypertextovPrepojenie">
    <w:name w:val="FollowedHyperlink"/>
    <w:basedOn w:val="Predvolenpsmoodseku"/>
    <w:uiPriority w:val="99"/>
    <w:semiHidden/>
    <w:unhideWhenUsed/>
    <w:rsid w:val="00646D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0300">
      <w:bodyDiv w:val="1"/>
      <w:marLeft w:val="0"/>
      <w:marRight w:val="0"/>
      <w:marTop w:val="0"/>
      <w:marBottom w:val="0"/>
      <w:divBdr>
        <w:top w:val="none" w:sz="0" w:space="0" w:color="auto"/>
        <w:left w:val="none" w:sz="0" w:space="0" w:color="auto"/>
        <w:bottom w:val="none" w:sz="0" w:space="0" w:color="auto"/>
        <w:right w:val="none" w:sz="0" w:space="0" w:color="auto"/>
      </w:divBdr>
    </w:div>
    <w:div w:id="475293547">
      <w:bodyDiv w:val="1"/>
      <w:marLeft w:val="0"/>
      <w:marRight w:val="0"/>
      <w:marTop w:val="0"/>
      <w:marBottom w:val="0"/>
      <w:divBdr>
        <w:top w:val="none" w:sz="0" w:space="0" w:color="auto"/>
        <w:left w:val="none" w:sz="0" w:space="0" w:color="auto"/>
        <w:bottom w:val="none" w:sz="0" w:space="0" w:color="auto"/>
        <w:right w:val="none" w:sz="0" w:space="0" w:color="auto"/>
      </w:divBdr>
    </w:div>
    <w:div w:id="171661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chart" Target="charts/chart1.xml"/><Relationship Id="rId26"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chart" Target="charts/chart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chart" Target="charts/chart7.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chart" Target="charts/chart6.xml"/><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chart" Target="charts/chart5.xml"/><Relationship Id="rId27" Type="http://schemas.openxmlformats.org/officeDocument/2006/relationships/hyperlink" Target="http://www.sbagency.sk/analyzy-slovenskeho-podnikatelskeho-prostredia"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kovacova\AppData\Local\Microsoft\Windows\Temporary%20Internet%20Files\Content.Outlook\00NFS4ZV\Podpora%20exportu%202016%20a%201%20polrok%202017.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ovacova\AppData\Local\Microsoft\Windows\Temporary%20Internet%20Files\Content.Outlook\00NFS4ZV\Podpora%20exportu%202016%20a%201%20polrok%202017.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kovacova\AppData\Local\Microsoft\Windows\Temporary%20Internet%20Files\Content.Outlook\00NFS4ZV\Podpora%20exportu%202016%20a%201%20polrok%202017.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kovacova\AppData\Local\Microsoft\Windows\Temporary%20Internet%20Files\Content.Outlook\00NFS4ZV\Podpora%20exportu%202016%20a%201%20polrok%202017.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kovacova\AppData\Local\Microsoft\Windows\Temporary%20Internet%20Files\Content.Outlook\00NFS4ZV\Podpora%20exportu%202016%20a%201%20polrok%202017.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kovacova\AppData\Local\Microsoft\Windows\Temporary%20Internet%20Files\Content.Outlook\00NFS4ZV\Podpora%20exportu%202016%20a%201%20polrok%202017.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kovacova\AppData\Local\Microsoft\Windows\Temporary%20Internet%20Files\Content.Outlook\00NFS4ZV\Podpora%20exportu%202016%20a%201%20polrok%202017.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kovacova\AppData\Local\Microsoft\Windows\Temporary%20Internet%20Files\Content.Outlook\00NFS4ZV\Podpora%20exportu%202016%20a%201%20polrok%202017.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lisican\Sprava%20o%20stave%20MSP%202016\grafy16_9-18.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sz="800" b="0" i="0" u="none" strike="noStrike" baseline="0">
                <a:solidFill>
                  <a:srgbClr val="000000"/>
                </a:solidFill>
                <a:latin typeface="Calibri"/>
                <a:ea typeface="Calibri"/>
                <a:cs typeface="Calibri"/>
              </a:defRPr>
            </a:pPr>
            <a:r>
              <a:rPr lang="en-US" sz="800" b="1" i="0" u="none" strike="noStrike" baseline="0">
                <a:solidFill>
                  <a:srgbClr val="000000"/>
                </a:solidFill>
                <a:latin typeface="Calibri"/>
                <a:cs typeface="Calibri"/>
              </a:rPr>
              <a:t>Podpora exportu z bankových aktivít</a:t>
            </a:r>
            <a:r>
              <a:rPr lang="sk-SK" sz="800" b="1" i="0" u="none" strike="noStrike" baseline="0">
                <a:solidFill>
                  <a:srgbClr val="000000"/>
                </a:solidFill>
                <a:latin typeface="Calibri"/>
                <a:cs typeface="Calibri"/>
              </a:rPr>
              <a:t> za rok 2016</a:t>
            </a:r>
            <a:r>
              <a:rPr lang="en-US" sz="800" b="1" i="0" u="none" strike="noStrike" baseline="0">
                <a:solidFill>
                  <a:srgbClr val="000000"/>
                </a:solidFill>
                <a:latin typeface="Calibri"/>
                <a:cs typeface="Calibri"/>
              </a:rPr>
              <a:t> </a:t>
            </a:r>
            <a:endParaRPr lang="sk-SK" sz="800" b="1" i="0" u="none" strike="noStrike" baseline="0">
              <a:solidFill>
                <a:srgbClr val="000000"/>
              </a:solidFill>
              <a:latin typeface="Calibri"/>
              <a:cs typeface="Calibri"/>
            </a:endParaRPr>
          </a:p>
          <a:p>
            <a:pPr algn="l">
              <a:defRPr sz="800" b="0" i="0" u="none" strike="noStrike" baseline="0">
                <a:solidFill>
                  <a:srgbClr val="000000"/>
                </a:solidFill>
                <a:latin typeface="Calibri"/>
                <a:ea typeface="Calibri"/>
                <a:cs typeface="Calibri"/>
              </a:defRPr>
            </a:pPr>
            <a:endParaRPr lang="en-US" sz="800" b="1" i="0" u="none" strike="noStrike" baseline="0">
              <a:solidFill>
                <a:srgbClr val="000000"/>
              </a:solidFill>
              <a:latin typeface="Calibri"/>
              <a:cs typeface="Calibri"/>
            </a:endParaRPr>
          </a:p>
        </c:rich>
      </c:tx>
      <c:layout>
        <c:manualLayout>
          <c:xMode val="edge"/>
          <c:yMode val="edge"/>
          <c:x val="1.055884871057989E-3"/>
          <c:y val="0"/>
        </c:manualLayout>
      </c:layout>
      <c:overlay val="0"/>
    </c:title>
    <c:autoTitleDeleted val="0"/>
    <c:plotArea>
      <c:layout>
        <c:manualLayout>
          <c:layoutTarget val="inner"/>
          <c:xMode val="edge"/>
          <c:yMode val="edge"/>
          <c:x val="6.2120761353193561E-2"/>
          <c:y val="0.13986572844591952"/>
          <c:w val="0.4807068336052237"/>
          <c:h val="0.85876521711119091"/>
        </c:manualLayout>
      </c:layout>
      <c:pieChart>
        <c:varyColors val="1"/>
        <c:ser>
          <c:idx val="0"/>
          <c:order val="0"/>
          <c:tx>
            <c:strRef>
              <c:f>'Podpora exportu teritoria'!$B$4</c:f>
              <c:strCache>
                <c:ptCount val="1"/>
                <c:pt idx="0">
                  <c:v>Skutočnosť za rok 2016</c:v>
                </c:pt>
              </c:strCache>
            </c:strRef>
          </c:tx>
          <c:explosion val="25"/>
          <c:dPt>
            <c:idx val="0"/>
            <c:bubble3D val="0"/>
            <c:spPr>
              <a:solidFill>
                <a:srgbClr val="0070C0"/>
              </a:solidFill>
            </c:spPr>
          </c:dPt>
          <c:dPt>
            <c:idx val="1"/>
            <c:bubble3D val="0"/>
            <c:spPr>
              <a:solidFill>
                <a:srgbClr val="FF0000"/>
              </a:solidFill>
            </c:spPr>
          </c:dPt>
          <c:dPt>
            <c:idx val="2"/>
            <c:bubble3D val="0"/>
            <c:spPr>
              <a:solidFill>
                <a:srgbClr val="00B050"/>
              </a:solidFill>
            </c:spPr>
          </c:dPt>
          <c:dPt>
            <c:idx val="3"/>
            <c:bubble3D val="0"/>
            <c:spPr>
              <a:solidFill>
                <a:srgbClr val="7030A0"/>
              </a:solidFill>
            </c:spPr>
          </c:dPt>
          <c:dPt>
            <c:idx val="4"/>
            <c:bubble3D val="0"/>
            <c:spPr>
              <a:solidFill>
                <a:schemeClr val="accent6"/>
              </a:solidFill>
            </c:spPr>
          </c:dPt>
          <c:dPt>
            <c:idx val="5"/>
            <c:bubble3D val="0"/>
            <c:spPr>
              <a:solidFill>
                <a:schemeClr val="tx1"/>
              </a:solidFill>
            </c:spPr>
          </c:dPt>
          <c:dPt>
            <c:idx val="6"/>
            <c:bubble3D val="0"/>
            <c:spPr>
              <a:solidFill>
                <a:srgbClr val="FFFF00"/>
              </a:solidFill>
            </c:spPr>
          </c:dPt>
          <c:dLbls>
            <c:dLbl>
              <c:idx val="0"/>
              <c:layout>
                <c:manualLayout>
                  <c:x val="3.9347378291057743E-2"/>
                  <c:y val="-3.9821009158926852E-3"/>
                </c:manualLayout>
              </c:layout>
              <c:dLblPos val="bestFit"/>
              <c:showLegendKey val="0"/>
              <c:showVal val="0"/>
              <c:showCatName val="0"/>
              <c:showSerName val="0"/>
              <c:showPercent val="1"/>
              <c:showBubbleSize val="0"/>
            </c:dLbl>
            <c:dLbl>
              <c:idx val="1"/>
              <c:layout>
                <c:manualLayout>
                  <c:x val="1.6080330953955235E-2"/>
                  <c:y val="1.7187988903059649E-2"/>
                </c:manualLayout>
              </c:layout>
              <c:dLblPos val="bestFit"/>
              <c:showLegendKey val="0"/>
              <c:showVal val="0"/>
              <c:showCatName val="0"/>
              <c:showSerName val="0"/>
              <c:showPercent val="1"/>
              <c:showBubbleSize val="0"/>
            </c:dLbl>
            <c:dLbl>
              <c:idx val="2"/>
              <c:layout>
                <c:manualLayout>
                  <c:x val="1.7920102420283798E-2"/>
                  <c:y val="2.6815465672736315E-2"/>
                </c:manualLayout>
              </c:layout>
              <c:dLblPos val="bestFit"/>
              <c:showLegendKey val="0"/>
              <c:showVal val="0"/>
              <c:showCatName val="0"/>
              <c:showSerName val="0"/>
              <c:showPercent val="1"/>
              <c:showBubbleSize val="0"/>
            </c:dLbl>
            <c:dLbl>
              <c:idx val="3"/>
              <c:layout>
                <c:manualLayout>
                  <c:x val="1.2410345127505617E-2"/>
                  <c:y val="2.0606874832421103E-4"/>
                </c:manualLayout>
              </c:layout>
              <c:dLblPos val="bestFit"/>
              <c:showLegendKey val="0"/>
              <c:showVal val="0"/>
              <c:showCatName val="0"/>
              <c:showSerName val="0"/>
              <c:showPercent val="1"/>
              <c:showBubbleSize val="0"/>
            </c:dLbl>
            <c:dLbl>
              <c:idx val="4"/>
              <c:layout>
                <c:manualLayout>
                  <c:x val="2.0533644044964827E-2"/>
                  <c:y val="1.666314533863017E-2"/>
                </c:manualLayout>
              </c:layout>
              <c:dLblPos val="bestFit"/>
              <c:showLegendKey val="0"/>
              <c:showVal val="0"/>
              <c:showCatName val="0"/>
              <c:showSerName val="0"/>
              <c:showPercent val="1"/>
              <c:showBubbleSize val="0"/>
            </c:dLbl>
            <c:dLbl>
              <c:idx val="5"/>
              <c:delete val="1"/>
            </c:dLbl>
            <c:dLbl>
              <c:idx val="6"/>
              <c:layout>
                <c:manualLayout>
                  <c:x val="3.103050334011468E-2"/>
                  <c:y val="1.8301747178753033E-2"/>
                </c:manualLayout>
              </c:layout>
              <c:dLblPos val="bestFit"/>
              <c:showLegendKey val="0"/>
              <c:showVal val="0"/>
              <c:showCatName val="0"/>
              <c:showSerName val="0"/>
              <c:showPercent val="1"/>
              <c:showBubbleSize val="0"/>
            </c:dLbl>
            <c:numFmt formatCode="0.0%" sourceLinked="0"/>
            <c:txPr>
              <a:bodyPr/>
              <a:lstStyle/>
              <a:p>
                <a:pPr>
                  <a:defRPr sz="600" b="0" i="0" u="none" strike="noStrike" baseline="0">
                    <a:solidFill>
                      <a:srgbClr val="000000"/>
                    </a:solidFill>
                    <a:latin typeface="Calibri"/>
                    <a:ea typeface="Calibri"/>
                    <a:cs typeface="Calibri"/>
                  </a:defRPr>
                </a:pPr>
                <a:endParaRPr lang="sk-SK"/>
              </a:p>
            </c:txPr>
            <c:showLegendKey val="0"/>
            <c:showVal val="0"/>
            <c:showCatName val="0"/>
            <c:showSerName val="0"/>
            <c:showPercent val="1"/>
            <c:showBubbleSize val="0"/>
            <c:showLeaderLines val="1"/>
          </c:dLbls>
          <c:cat>
            <c:strRef>
              <c:f>'Podpora exportu teritoria'!$A$6:$A$12</c:f>
              <c:strCache>
                <c:ptCount val="7"/>
                <c:pt idx="0">
                  <c:v>Európska únia </c:v>
                </c:pt>
                <c:pt idx="1">
                  <c:v>Ostatné OECD</c:v>
                </c:pt>
                <c:pt idx="2">
                  <c:v>Bývalé krajiny SNŠ </c:v>
                </c:pt>
                <c:pt idx="3">
                  <c:v>Juhovýchodná Ázia </c:v>
                </c:pt>
                <c:pt idx="4">
                  <c:v>Ostatné krajiny</c:v>
                </c:pt>
                <c:pt idx="5">
                  <c:v>EZVO</c:v>
                </c:pt>
                <c:pt idx="6">
                  <c:v>Blízky a Stredný Východ </c:v>
                </c:pt>
              </c:strCache>
            </c:strRef>
          </c:cat>
          <c:val>
            <c:numRef>
              <c:f>'Podpora exportu teritoria'!$B$6:$B$12</c:f>
              <c:numCache>
                <c:formatCode>#,##0.0</c:formatCode>
                <c:ptCount val="7"/>
                <c:pt idx="0">
                  <c:v>808047.54003999999</c:v>
                </c:pt>
                <c:pt idx="1">
                  <c:v>23342.22884</c:v>
                </c:pt>
                <c:pt idx="2">
                  <c:v>29172.328249999999</c:v>
                </c:pt>
                <c:pt idx="3">
                  <c:v>3245.1668300000001</c:v>
                </c:pt>
                <c:pt idx="4">
                  <c:v>25640.53297</c:v>
                </c:pt>
                <c:pt idx="5">
                  <c:v>0</c:v>
                </c:pt>
                <c:pt idx="6">
                  <c:v>4965.1683400000002</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6050268027069914"/>
          <c:y val="0.10814089583853606"/>
          <c:w val="0.31352623284272291"/>
          <c:h val="0.85655142367834824"/>
        </c:manualLayout>
      </c:layout>
      <c:overlay val="0"/>
      <c:txPr>
        <a:bodyPr/>
        <a:lstStyle/>
        <a:p>
          <a:pPr>
            <a:defRPr sz="735" b="0" i="0" u="none" strike="noStrike" baseline="0">
              <a:solidFill>
                <a:srgbClr val="000000"/>
              </a:solidFill>
              <a:latin typeface="Calibri"/>
              <a:ea typeface="Calibri"/>
              <a:cs typeface="Calibri"/>
            </a:defRPr>
          </a:pPr>
          <a:endParaRPr lang="sk-SK"/>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sk-SK"/>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0" i="0" u="none" strike="noStrike" baseline="0">
                <a:solidFill>
                  <a:srgbClr val="000000"/>
                </a:solidFill>
                <a:latin typeface="Calibri"/>
                <a:ea typeface="Calibri"/>
                <a:cs typeface="Calibri"/>
              </a:defRPr>
            </a:pPr>
            <a:r>
              <a:rPr lang="en-US" sz="800" b="1" i="0" u="none" strike="noStrike" baseline="0">
                <a:solidFill>
                  <a:srgbClr val="000000"/>
                </a:solidFill>
                <a:latin typeface="Calibri"/>
                <a:cs typeface="Calibri"/>
              </a:rPr>
              <a:t>Podpora exportu z poisťovacích aktivít</a:t>
            </a:r>
            <a:r>
              <a:rPr lang="sk-SK" sz="800" b="1" i="0" u="none" strike="noStrike" baseline="0">
                <a:solidFill>
                  <a:srgbClr val="000000"/>
                </a:solidFill>
                <a:latin typeface="Calibri"/>
                <a:cs typeface="Calibri"/>
              </a:rPr>
              <a:t> za rok 2016</a:t>
            </a:r>
            <a:endParaRPr lang="en-US" sz="800" b="1" i="0" u="none" strike="noStrike" baseline="0">
              <a:solidFill>
                <a:srgbClr val="000000"/>
              </a:solidFill>
              <a:latin typeface="Calibri"/>
              <a:cs typeface="Calibri"/>
            </a:endParaRPr>
          </a:p>
        </c:rich>
      </c:tx>
      <c:layout>
        <c:manualLayout>
          <c:xMode val="edge"/>
          <c:yMode val="edge"/>
          <c:x val="3.3049390647929743E-2"/>
          <c:y val="6.008321540452605E-3"/>
        </c:manualLayout>
      </c:layout>
      <c:overlay val="0"/>
    </c:title>
    <c:autoTitleDeleted val="0"/>
    <c:plotArea>
      <c:layout>
        <c:manualLayout>
          <c:layoutTarget val="inner"/>
          <c:xMode val="edge"/>
          <c:yMode val="edge"/>
          <c:x val="6.5479283603403493E-2"/>
          <c:y val="0.11583126433520134"/>
          <c:w val="0.49442181188308643"/>
          <c:h val="0.8841687356647987"/>
        </c:manualLayout>
      </c:layout>
      <c:pieChart>
        <c:varyColors val="1"/>
        <c:ser>
          <c:idx val="0"/>
          <c:order val="0"/>
          <c:tx>
            <c:strRef>
              <c:f>'Podpora exportu teritoria'!$B$18</c:f>
              <c:strCache>
                <c:ptCount val="1"/>
                <c:pt idx="0">
                  <c:v>Skutočnosť za rok 2016</c:v>
                </c:pt>
              </c:strCache>
            </c:strRef>
          </c:tx>
          <c:explosion val="25"/>
          <c:dPt>
            <c:idx val="0"/>
            <c:bubble3D val="0"/>
            <c:spPr>
              <a:solidFill>
                <a:srgbClr val="0070C0"/>
              </a:solidFill>
            </c:spPr>
          </c:dPt>
          <c:dPt>
            <c:idx val="1"/>
            <c:bubble3D val="0"/>
            <c:spPr>
              <a:solidFill>
                <a:srgbClr val="FF0000"/>
              </a:solidFill>
            </c:spPr>
          </c:dPt>
          <c:dPt>
            <c:idx val="2"/>
            <c:bubble3D val="0"/>
            <c:spPr>
              <a:solidFill>
                <a:srgbClr val="00B050"/>
              </a:solidFill>
            </c:spPr>
          </c:dPt>
          <c:dPt>
            <c:idx val="3"/>
            <c:bubble3D val="0"/>
            <c:spPr>
              <a:solidFill>
                <a:srgbClr val="7030A0"/>
              </a:solidFill>
            </c:spPr>
          </c:dPt>
          <c:dPt>
            <c:idx val="4"/>
            <c:bubble3D val="0"/>
            <c:spPr>
              <a:solidFill>
                <a:schemeClr val="accent6"/>
              </a:solidFill>
            </c:spPr>
          </c:dPt>
          <c:dPt>
            <c:idx val="5"/>
            <c:bubble3D val="0"/>
            <c:spPr>
              <a:solidFill>
                <a:schemeClr val="tx1"/>
              </a:solidFill>
            </c:spPr>
          </c:dPt>
          <c:dPt>
            <c:idx val="6"/>
            <c:bubble3D val="0"/>
            <c:spPr>
              <a:solidFill>
                <a:srgbClr val="FFFF00"/>
              </a:solidFill>
            </c:spPr>
          </c:dPt>
          <c:dLbls>
            <c:dLbl>
              <c:idx val="0"/>
              <c:layout>
                <c:manualLayout>
                  <c:x val="-5.4662689784064607E-3"/>
                  <c:y val="-1.4504934274516568E-2"/>
                </c:manualLayout>
              </c:layout>
              <c:dLblPos val="bestFit"/>
              <c:showLegendKey val="0"/>
              <c:showVal val="0"/>
              <c:showCatName val="0"/>
              <c:showSerName val="0"/>
              <c:showPercent val="1"/>
              <c:showBubbleSize val="0"/>
            </c:dLbl>
            <c:dLbl>
              <c:idx val="1"/>
              <c:layout>
                <c:manualLayout>
                  <c:x val="6.1693673681218059E-3"/>
                  <c:y val="-7.6962001371450187E-3"/>
                </c:manualLayout>
              </c:layout>
              <c:dLblPos val="bestFit"/>
              <c:showLegendKey val="0"/>
              <c:showVal val="0"/>
              <c:showCatName val="0"/>
              <c:showSerName val="0"/>
              <c:showPercent val="1"/>
              <c:showBubbleSize val="0"/>
            </c:dLbl>
            <c:dLbl>
              <c:idx val="2"/>
              <c:layout>
                <c:manualLayout>
                  <c:x val="9.2364650892190116E-3"/>
                  <c:y val="6.1038991747653162E-3"/>
                </c:manualLayout>
              </c:layout>
              <c:dLblPos val="bestFit"/>
              <c:showLegendKey val="0"/>
              <c:showVal val="0"/>
              <c:showCatName val="0"/>
              <c:showSerName val="0"/>
              <c:showPercent val="1"/>
              <c:showBubbleSize val="0"/>
            </c:dLbl>
            <c:dLbl>
              <c:idx val="3"/>
              <c:delete val="1"/>
            </c:dLbl>
            <c:dLbl>
              <c:idx val="4"/>
              <c:layout>
                <c:manualLayout>
                  <c:x val="1.9570664498171984E-2"/>
                  <c:y val="1.0295334704783523E-2"/>
                </c:manualLayout>
              </c:layout>
              <c:dLblPos val="bestFit"/>
              <c:showLegendKey val="0"/>
              <c:showVal val="0"/>
              <c:showCatName val="0"/>
              <c:showSerName val="0"/>
              <c:showPercent val="1"/>
              <c:showBubbleSize val="0"/>
            </c:dLbl>
            <c:dLbl>
              <c:idx val="5"/>
              <c:layout>
                <c:manualLayout>
                  <c:x val="1.2826401013171656E-2"/>
                  <c:y val="1.9989284423554955E-2"/>
                </c:manualLayout>
              </c:layout>
              <c:dLblPos val="bestFit"/>
              <c:showLegendKey val="0"/>
              <c:showVal val="0"/>
              <c:showCatName val="0"/>
              <c:showSerName val="0"/>
              <c:showPercent val="1"/>
              <c:showBubbleSize val="0"/>
            </c:dLbl>
            <c:dLbl>
              <c:idx val="6"/>
              <c:layout>
                <c:manualLayout>
                  <c:x val="2.090965886069102E-2"/>
                  <c:y val="2.988220834624343E-2"/>
                </c:manualLayout>
              </c:layout>
              <c:dLblPos val="bestFit"/>
              <c:showLegendKey val="0"/>
              <c:showVal val="0"/>
              <c:showCatName val="0"/>
              <c:showSerName val="0"/>
              <c:showPercent val="1"/>
              <c:showBubbleSize val="0"/>
            </c:dLbl>
            <c:numFmt formatCode="0.0%" sourceLinked="0"/>
            <c:txPr>
              <a:bodyPr/>
              <a:lstStyle/>
              <a:p>
                <a:pPr>
                  <a:defRPr sz="600" b="0" i="0" u="none" strike="noStrike" baseline="0">
                    <a:solidFill>
                      <a:srgbClr val="000000"/>
                    </a:solidFill>
                    <a:latin typeface="Calibri"/>
                    <a:ea typeface="Calibri"/>
                    <a:cs typeface="Calibri"/>
                  </a:defRPr>
                </a:pPr>
                <a:endParaRPr lang="sk-SK"/>
              </a:p>
            </c:txPr>
            <c:showLegendKey val="0"/>
            <c:showVal val="0"/>
            <c:showCatName val="0"/>
            <c:showSerName val="0"/>
            <c:showPercent val="1"/>
            <c:showBubbleSize val="0"/>
            <c:showLeaderLines val="1"/>
          </c:dLbls>
          <c:cat>
            <c:strRef>
              <c:f>'Podpora exportu teritoria'!$A$20:$A$26</c:f>
              <c:strCache>
                <c:ptCount val="7"/>
                <c:pt idx="0">
                  <c:v>Európska únia </c:v>
                </c:pt>
                <c:pt idx="1">
                  <c:v>Ostatné OECD</c:v>
                </c:pt>
                <c:pt idx="2">
                  <c:v>Bývalé krajiny SNŠ </c:v>
                </c:pt>
                <c:pt idx="3">
                  <c:v>Juhovýchodná Ázia </c:v>
                </c:pt>
                <c:pt idx="4">
                  <c:v>Ostatné krajiny</c:v>
                </c:pt>
                <c:pt idx="5">
                  <c:v>EZVO</c:v>
                </c:pt>
                <c:pt idx="6">
                  <c:v>Blízky a Stredný Východ </c:v>
                </c:pt>
              </c:strCache>
            </c:strRef>
          </c:cat>
          <c:val>
            <c:numRef>
              <c:f>'Podpora exportu teritoria'!$B$20:$B$26</c:f>
              <c:numCache>
                <c:formatCode>#,##0.0</c:formatCode>
                <c:ptCount val="7"/>
                <c:pt idx="0">
                  <c:v>549685.23199999996</c:v>
                </c:pt>
                <c:pt idx="1">
                  <c:v>1658.318</c:v>
                </c:pt>
                <c:pt idx="2">
                  <c:v>39321.813000000002</c:v>
                </c:pt>
                <c:pt idx="3">
                  <c:v>89.977999999999994</c:v>
                </c:pt>
                <c:pt idx="4">
                  <c:v>149605.41899999999</c:v>
                </c:pt>
                <c:pt idx="5">
                  <c:v>32588.669000000002</c:v>
                </c:pt>
                <c:pt idx="6">
                  <c:v>4819.28</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2838219504728077"/>
          <c:y val="0.12254012603263302"/>
          <c:w val="0.33054636868135895"/>
          <c:h val="0.83763243928940045"/>
        </c:manualLayout>
      </c:layout>
      <c:overlay val="0"/>
      <c:txPr>
        <a:bodyPr/>
        <a:lstStyle/>
        <a:p>
          <a:pPr>
            <a:defRPr sz="735" b="0" i="0" u="none" strike="noStrike" baseline="0">
              <a:solidFill>
                <a:srgbClr val="000000"/>
              </a:solidFill>
              <a:latin typeface="Calibri"/>
              <a:ea typeface="Calibri"/>
              <a:cs typeface="Calibri"/>
            </a:defRPr>
          </a:pPr>
          <a:endParaRPr lang="sk-SK"/>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sk-SK"/>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Calibri"/>
                <a:ea typeface="Calibri"/>
                <a:cs typeface="Calibri"/>
              </a:defRPr>
            </a:pPr>
            <a:r>
              <a:rPr lang="en-US" sz="800" b="1" i="0" u="none" strike="noStrike" baseline="0">
                <a:solidFill>
                  <a:srgbClr val="000000"/>
                </a:solidFill>
                <a:latin typeface="Calibri"/>
                <a:cs typeface="Calibri"/>
              </a:rPr>
              <a:t>Podpora exportu z bankových aktivít za 1.polrok 2017</a:t>
            </a:r>
          </a:p>
        </c:rich>
      </c:tx>
      <c:layout>
        <c:manualLayout>
          <c:xMode val="edge"/>
          <c:yMode val="edge"/>
          <c:x val="4.2849566739558385E-2"/>
          <c:y val="6.0089936553754447E-3"/>
        </c:manualLayout>
      </c:layout>
      <c:overlay val="0"/>
    </c:title>
    <c:autoTitleDeleted val="0"/>
    <c:plotArea>
      <c:layout>
        <c:manualLayout>
          <c:layoutTarget val="inner"/>
          <c:xMode val="edge"/>
          <c:yMode val="edge"/>
          <c:x val="6.883780585361339E-2"/>
          <c:y val="0.13384928235321936"/>
          <c:w val="0.48407465439616015"/>
          <c:h val="0.86566503511385406"/>
        </c:manualLayout>
      </c:layout>
      <c:pieChart>
        <c:varyColors val="1"/>
        <c:ser>
          <c:idx val="0"/>
          <c:order val="0"/>
          <c:tx>
            <c:strRef>
              <c:f>'Podpora exportu teritoria'!$C$4</c:f>
              <c:strCache>
                <c:ptCount val="1"/>
                <c:pt idx="0">
                  <c:v>Skutočnosť za 1.H.2017</c:v>
                </c:pt>
              </c:strCache>
            </c:strRef>
          </c:tx>
          <c:explosion val="25"/>
          <c:dPt>
            <c:idx val="0"/>
            <c:bubble3D val="0"/>
            <c:spPr>
              <a:solidFill>
                <a:srgbClr val="0070C0"/>
              </a:solidFill>
            </c:spPr>
          </c:dPt>
          <c:dPt>
            <c:idx val="1"/>
            <c:bubble3D val="0"/>
            <c:spPr>
              <a:solidFill>
                <a:srgbClr val="FF0000"/>
              </a:solidFill>
            </c:spPr>
          </c:dPt>
          <c:dPt>
            <c:idx val="2"/>
            <c:bubble3D val="0"/>
            <c:spPr>
              <a:solidFill>
                <a:srgbClr val="00B050"/>
              </a:solidFill>
            </c:spPr>
          </c:dPt>
          <c:dPt>
            <c:idx val="3"/>
            <c:bubble3D val="0"/>
            <c:spPr>
              <a:solidFill>
                <a:srgbClr val="7030A0"/>
              </a:solidFill>
            </c:spPr>
          </c:dPt>
          <c:dPt>
            <c:idx val="4"/>
            <c:bubble3D val="0"/>
            <c:spPr>
              <a:solidFill>
                <a:schemeClr val="accent6"/>
              </a:solidFill>
            </c:spPr>
          </c:dPt>
          <c:dPt>
            <c:idx val="5"/>
            <c:bubble3D val="0"/>
            <c:spPr>
              <a:solidFill>
                <a:schemeClr val="tx1"/>
              </a:solidFill>
            </c:spPr>
          </c:dPt>
          <c:dPt>
            <c:idx val="6"/>
            <c:bubble3D val="0"/>
            <c:spPr>
              <a:solidFill>
                <a:srgbClr val="FFFF00"/>
              </a:solidFill>
            </c:spPr>
          </c:dPt>
          <c:dLbls>
            <c:dLbl>
              <c:idx val="0"/>
              <c:layout>
                <c:manualLayout>
                  <c:x val="2.5393728348653243E-2"/>
                  <c:y val="-3.3347326877328797E-3"/>
                </c:manualLayout>
              </c:layout>
              <c:dLblPos val="bestFit"/>
              <c:showLegendKey val="0"/>
              <c:showVal val="0"/>
              <c:showCatName val="0"/>
              <c:showSerName val="0"/>
              <c:showPercent val="1"/>
              <c:showBubbleSize val="0"/>
            </c:dLbl>
            <c:dLbl>
              <c:idx val="1"/>
              <c:layout>
                <c:manualLayout>
                  <c:x val="1.3594610497365411E-2"/>
                  <c:y val="1.55281265517486E-2"/>
                </c:manualLayout>
              </c:layout>
              <c:dLblPos val="bestFit"/>
              <c:showLegendKey val="0"/>
              <c:showVal val="0"/>
              <c:showCatName val="0"/>
              <c:showSerName val="0"/>
              <c:showPercent val="1"/>
              <c:showBubbleSize val="0"/>
            </c:dLbl>
            <c:dLbl>
              <c:idx val="2"/>
              <c:layout>
                <c:manualLayout>
                  <c:x val="2.1197106011782152E-2"/>
                  <c:y val="1.180960241732543E-2"/>
                </c:manualLayout>
              </c:layout>
              <c:dLblPos val="bestFit"/>
              <c:showLegendKey val="0"/>
              <c:showVal val="0"/>
              <c:showCatName val="0"/>
              <c:showSerName val="0"/>
              <c:showPercent val="1"/>
              <c:showBubbleSize val="0"/>
            </c:dLbl>
            <c:dLbl>
              <c:idx val="3"/>
              <c:delete val="1"/>
            </c:dLbl>
            <c:dLbl>
              <c:idx val="4"/>
              <c:layout>
                <c:manualLayout>
                  <c:x val="1.8594171293045476E-2"/>
                  <c:y val="1.7257123069661758E-2"/>
                </c:manualLayout>
              </c:layout>
              <c:dLblPos val="bestFit"/>
              <c:showLegendKey val="0"/>
              <c:showVal val="0"/>
              <c:showCatName val="0"/>
              <c:showSerName val="0"/>
              <c:showPercent val="1"/>
              <c:showBubbleSize val="0"/>
            </c:dLbl>
            <c:dLbl>
              <c:idx val="5"/>
              <c:delete val="1"/>
            </c:dLbl>
            <c:dLbl>
              <c:idx val="6"/>
              <c:delete val="1"/>
            </c:dLbl>
            <c:numFmt formatCode="0.0%" sourceLinked="0"/>
            <c:txPr>
              <a:bodyPr/>
              <a:lstStyle/>
              <a:p>
                <a:pPr>
                  <a:defRPr sz="600" b="0" i="0" u="none" strike="noStrike" baseline="0">
                    <a:solidFill>
                      <a:srgbClr val="000000"/>
                    </a:solidFill>
                    <a:latin typeface="Calibri"/>
                    <a:ea typeface="Calibri"/>
                    <a:cs typeface="Calibri"/>
                  </a:defRPr>
                </a:pPr>
                <a:endParaRPr lang="sk-SK"/>
              </a:p>
            </c:txPr>
            <c:showLegendKey val="0"/>
            <c:showVal val="0"/>
            <c:showCatName val="0"/>
            <c:showSerName val="0"/>
            <c:showPercent val="1"/>
            <c:showBubbleSize val="0"/>
            <c:showLeaderLines val="1"/>
          </c:dLbls>
          <c:cat>
            <c:strRef>
              <c:f>'Podpora exportu teritoria'!$A$6:$A$12</c:f>
              <c:strCache>
                <c:ptCount val="7"/>
                <c:pt idx="0">
                  <c:v>Európska únia </c:v>
                </c:pt>
                <c:pt idx="1">
                  <c:v>Ostatné OECD</c:v>
                </c:pt>
                <c:pt idx="2">
                  <c:v>Bývalé krajiny SNŠ </c:v>
                </c:pt>
                <c:pt idx="3">
                  <c:v>Juhovýchodná Ázia </c:v>
                </c:pt>
                <c:pt idx="4">
                  <c:v>Ostatné krajiny</c:v>
                </c:pt>
                <c:pt idx="5">
                  <c:v>EZVO</c:v>
                </c:pt>
                <c:pt idx="6">
                  <c:v>Blízky a Stredný Východ </c:v>
                </c:pt>
              </c:strCache>
            </c:strRef>
          </c:cat>
          <c:val>
            <c:numRef>
              <c:f>'Podpora exportu teritoria'!$C$6:$C$12</c:f>
              <c:numCache>
                <c:formatCode>#,##0.0</c:formatCode>
                <c:ptCount val="7"/>
                <c:pt idx="0">
                  <c:v>427500.11655999999</c:v>
                </c:pt>
                <c:pt idx="1">
                  <c:v>13050.000899999999</c:v>
                </c:pt>
                <c:pt idx="2">
                  <c:v>11978.971299999999</c:v>
                </c:pt>
                <c:pt idx="3">
                  <c:v>1.24095</c:v>
                </c:pt>
                <c:pt idx="4">
                  <c:v>29784.998100000001</c:v>
                </c:pt>
                <c:pt idx="5">
                  <c:v>4.5999999999999996</c:v>
                </c:pt>
                <c:pt idx="6">
                  <c:v>262.59465999999998</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6050268027069914"/>
          <c:y val="8.2200861783228357E-2"/>
          <c:w val="0.31352623284272291"/>
          <c:h val="0.7876889614374637"/>
        </c:manualLayout>
      </c:layout>
      <c:overlay val="0"/>
      <c:txPr>
        <a:bodyPr/>
        <a:lstStyle/>
        <a:p>
          <a:pPr>
            <a:defRPr sz="735" b="0" i="0" u="none" strike="noStrike" baseline="0">
              <a:solidFill>
                <a:srgbClr val="000000"/>
              </a:solidFill>
              <a:latin typeface="Calibri"/>
              <a:ea typeface="Calibri"/>
              <a:cs typeface="Calibri"/>
            </a:defRPr>
          </a:pPr>
          <a:endParaRPr lang="sk-SK"/>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sk-SK"/>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0" i="0" u="none" strike="noStrike" baseline="0">
                <a:solidFill>
                  <a:srgbClr val="000000"/>
                </a:solidFill>
                <a:latin typeface="Calibri"/>
                <a:ea typeface="Calibri"/>
                <a:cs typeface="Calibri"/>
              </a:defRPr>
            </a:pPr>
            <a:r>
              <a:rPr lang="en-US" sz="800" b="1" i="0" u="none" strike="noStrike" baseline="0">
                <a:solidFill>
                  <a:srgbClr val="000000"/>
                </a:solidFill>
                <a:latin typeface="Calibri"/>
                <a:cs typeface="Calibri"/>
              </a:rPr>
              <a:t>Podpora exportu z poisťovacích aktivít za 1</a:t>
            </a:r>
            <a:r>
              <a:rPr lang="sk-SK" sz="800" b="1" i="0" u="none" strike="noStrike" baseline="0">
                <a:solidFill>
                  <a:srgbClr val="000000"/>
                </a:solidFill>
                <a:latin typeface="Calibri"/>
                <a:cs typeface="Calibri"/>
              </a:rPr>
              <a:t> </a:t>
            </a:r>
            <a:r>
              <a:rPr lang="en-US" sz="800" b="1" i="0" u="none" strike="noStrike" baseline="0">
                <a:solidFill>
                  <a:srgbClr val="000000"/>
                </a:solidFill>
                <a:latin typeface="Calibri"/>
                <a:cs typeface="Calibri"/>
              </a:rPr>
              <a:t>.polrok</a:t>
            </a:r>
            <a:r>
              <a:rPr lang="sk-SK" sz="800" b="1" i="0" u="none" strike="noStrike" baseline="0">
                <a:solidFill>
                  <a:srgbClr val="000000"/>
                </a:solidFill>
                <a:latin typeface="Calibri"/>
                <a:cs typeface="Calibri"/>
              </a:rPr>
              <a:t> 2017  </a:t>
            </a:r>
            <a:endParaRPr lang="en-US" sz="800" b="1" i="0" u="none" strike="noStrike" baseline="0">
              <a:solidFill>
                <a:srgbClr val="000000"/>
              </a:solidFill>
              <a:latin typeface="Calibri"/>
              <a:cs typeface="Calibri"/>
            </a:endParaRPr>
          </a:p>
        </c:rich>
      </c:tx>
      <c:layout>
        <c:manualLayout>
          <c:xMode val="edge"/>
          <c:yMode val="edge"/>
          <c:x val="4.4646771274860237E-3"/>
          <c:y val="0"/>
        </c:manualLayout>
      </c:layout>
      <c:overlay val="0"/>
    </c:title>
    <c:autoTitleDeleted val="0"/>
    <c:plotArea>
      <c:layout>
        <c:manualLayout>
          <c:layoutTarget val="inner"/>
          <c:xMode val="edge"/>
          <c:yMode val="edge"/>
          <c:x val="8.227189485445302E-2"/>
          <c:y val="0.12183727034120735"/>
          <c:w val="0.49079169889657998"/>
          <c:h val="0.87767704712586603"/>
        </c:manualLayout>
      </c:layout>
      <c:pieChart>
        <c:varyColors val="1"/>
        <c:ser>
          <c:idx val="0"/>
          <c:order val="0"/>
          <c:tx>
            <c:strRef>
              <c:f>'Podpora exportu teritoria'!$C$18</c:f>
              <c:strCache>
                <c:ptCount val="1"/>
                <c:pt idx="0">
                  <c:v>Skutočnosť za 1.H.2017</c:v>
                </c:pt>
              </c:strCache>
            </c:strRef>
          </c:tx>
          <c:explosion val="27"/>
          <c:dPt>
            <c:idx val="0"/>
            <c:bubble3D val="0"/>
            <c:spPr>
              <a:solidFill>
                <a:srgbClr val="0070C0"/>
              </a:solidFill>
            </c:spPr>
          </c:dPt>
          <c:dPt>
            <c:idx val="1"/>
            <c:bubble3D val="0"/>
            <c:spPr>
              <a:solidFill>
                <a:srgbClr val="FF0000"/>
              </a:solidFill>
            </c:spPr>
          </c:dPt>
          <c:dPt>
            <c:idx val="2"/>
            <c:bubble3D val="0"/>
            <c:spPr>
              <a:solidFill>
                <a:srgbClr val="00B050"/>
              </a:solidFill>
            </c:spPr>
          </c:dPt>
          <c:dPt>
            <c:idx val="3"/>
            <c:bubble3D val="0"/>
            <c:spPr>
              <a:solidFill>
                <a:srgbClr val="7030A0"/>
              </a:solidFill>
            </c:spPr>
          </c:dPt>
          <c:dPt>
            <c:idx val="4"/>
            <c:bubble3D val="0"/>
            <c:spPr>
              <a:solidFill>
                <a:schemeClr val="accent6"/>
              </a:solidFill>
            </c:spPr>
          </c:dPt>
          <c:dPt>
            <c:idx val="5"/>
            <c:bubble3D val="0"/>
            <c:spPr>
              <a:solidFill>
                <a:schemeClr val="tx1"/>
              </a:solidFill>
            </c:spPr>
          </c:dPt>
          <c:dPt>
            <c:idx val="6"/>
            <c:bubble3D val="0"/>
            <c:spPr>
              <a:solidFill>
                <a:srgbClr val="FFFF00"/>
              </a:solidFill>
            </c:spPr>
          </c:dPt>
          <c:dLbls>
            <c:dLbl>
              <c:idx val="0"/>
              <c:layout>
                <c:manualLayout>
                  <c:x val="1.0246271142215274E-3"/>
                  <c:y val="-3.2772564997295979E-2"/>
                </c:manualLayout>
              </c:layout>
              <c:dLblPos val="bestFit"/>
              <c:showLegendKey val="0"/>
              <c:showVal val="0"/>
              <c:showCatName val="0"/>
              <c:showSerName val="0"/>
              <c:showPercent val="1"/>
              <c:showBubbleSize val="0"/>
            </c:dLbl>
            <c:dLbl>
              <c:idx val="1"/>
              <c:layout>
                <c:manualLayout>
                  <c:x val="6.2050399774285043E-3"/>
                  <c:y val="7.6406208848011992E-3"/>
                </c:manualLayout>
              </c:layout>
              <c:dLblPos val="bestFit"/>
              <c:showLegendKey val="0"/>
              <c:showVal val="0"/>
              <c:showCatName val="0"/>
              <c:showSerName val="0"/>
              <c:showPercent val="1"/>
              <c:showBubbleSize val="0"/>
            </c:dLbl>
            <c:dLbl>
              <c:idx val="2"/>
              <c:layout>
                <c:manualLayout>
                  <c:x val="1.5721586438974724E-2"/>
                  <c:y val="2.6364947624790145E-3"/>
                </c:manualLayout>
              </c:layout>
              <c:dLblPos val="bestFit"/>
              <c:showLegendKey val="0"/>
              <c:showVal val="0"/>
              <c:showCatName val="0"/>
              <c:showSerName val="0"/>
              <c:showPercent val="1"/>
              <c:showBubbleSize val="0"/>
            </c:dLbl>
            <c:dLbl>
              <c:idx val="3"/>
              <c:delete val="1"/>
            </c:dLbl>
            <c:dLbl>
              <c:idx val="4"/>
              <c:layout>
                <c:manualLayout>
                  <c:x val="1.890468846456551E-2"/>
                  <c:y val="1.9102958116238286E-2"/>
                </c:manualLayout>
              </c:layout>
              <c:dLblPos val="bestFit"/>
              <c:showLegendKey val="0"/>
              <c:showVal val="0"/>
              <c:showCatName val="0"/>
              <c:showSerName val="0"/>
              <c:showPercent val="1"/>
              <c:showBubbleSize val="0"/>
            </c:dLbl>
            <c:dLbl>
              <c:idx val="5"/>
              <c:layout>
                <c:manualLayout>
                  <c:x val="1.21398690259254E-2"/>
                  <c:y val="1.7058304723182142E-2"/>
                </c:manualLayout>
              </c:layout>
              <c:dLblPos val="bestFit"/>
              <c:showLegendKey val="0"/>
              <c:showVal val="0"/>
              <c:showCatName val="0"/>
              <c:showSerName val="0"/>
              <c:showPercent val="1"/>
              <c:showBubbleSize val="0"/>
            </c:dLbl>
            <c:dLbl>
              <c:idx val="6"/>
              <c:layout>
                <c:manualLayout>
                  <c:x val="2.9767751187443122E-2"/>
                  <c:y val="2.6342896293942708E-2"/>
                </c:manualLayout>
              </c:layout>
              <c:dLblPos val="bestFit"/>
              <c:showLegendKey val="0"/>
              <c:showVal val="0"/>
              <c:showCatName val="0"/>
              <c:showSerName val="0"/>
              <c:showPercent val="1"/>
              <c:showBubbleSize val="0"/>
            </c:dLbl>
            <c:numFmt formatCode="0.0%" sourceLinked="0"/>
            <c:txPr>
              <a:bodyPr/>
              <a:lstStyle/>
              <a:p>
                <a:pPr>
                  <a:defRPr sz="600" b="0" i="0" u="none" strike="noStrike" baseline="0">
                    <a:solidFill>
                      <a:srgbClr val="000000"/>
                    </a:solidFill>
                    <a:latin typeface="Calibri"/>
                    <a:ea typeface="Calibri"/>
                    <a:cs typeface="Calibri"/>
                  </a:defRPr>
                </a:pPr>
                <a:endParaRPr lang="sk-SK"/>
              </a:p>
            </c:txPr>
            <c:showLegendKey val="0"/>
            <c:showVal val="0"/>
            <c:showCatName val="0"/>
            <c:showSerName val="0"/>
            <c:showPercent val="1"/>
            <c:showBubbleSize val="0"/>
            <c:showLeaderLines val="1"/>
          </c:dLbls>
          <c:cat>
            <c:strRef>
              <c:f>'Podpora exportu teritoria'!$A$20:$A$26</c:f>
              <c:strCache>
                <c:ptCount val="7"/>
                <c:pt idx="0">
                  <c:v>Európska únia </c:v>
                </c:pt>
                <c:pt idx="1">
                  <c:v>Ostatné OECD</c:v>
                </c:pt>
                <c:pt idx="2">
                  <c:v>Bývalé krajiny SNŠ </c:v>
                </c:pt>
                <c:pt idx="3">
                  <c:v>Juhovýchodná Ázia </c:v>
                </c:pt>
                <c:pt idx="4">
                  <c:v>Ostatné krajiny</c:v>
                </c:pt>
                <c:pt idx="5">
                  <c:v>EZVO</c:v>
                </c:pt>
                <c:pt idx="6">
                  <c:v>Blízky a Stredný Východ </c:v>
                </c:pt>
              </c:strCache>
            </c:strRef>
          </c:cat>
          <c:val>
            <c:numRef>
              <c:f>'Podpora exportu teritoria'!$C$20:$C$26</c:f>
              <c:numCache>
                <c:formatCode>#,##0.0</c:formatCode>
                <c:ptCount val="7"/>
                <c:pt idx="0">
                  <c:v>313403.94099999999</c:v>
                </c:pt>
                <c:pt idx="1">
                  <c:v>756.80899999999997</c:v>
                </c:pt>
                <c:pt idx="2">
                  <c:v>55956.476000000002</c:v>
                </c:pt>
                <c:pt idx="3">
                  <c:v>0</c:v>
                </c:pt>
                <c:pt idx="4">
                  <c:v>6216.1750000000002</c:v>
                </c:pt>
                <c:pt idx="5">
                  <c:v>12663.018</c:v>
                </c:pt>
                <c:pt idx="6">
                  <c:v>362.55099999999999</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6541105535611578"/>
          <c:y val="0.25897519566810906"/>
          <c:w val="0.31443781114262481"/>
          <c:h val="0.67069825731243049"/>
        </c:manualLayout>
      </c:layout>
      <c:overlay val="0"/>
      <c:txPr>
        <a:bodyPr/>
        <a:lstStyle/>
        <a:p>
          <a:pPr>
            <a:defRPr sz="735" b="0" i="0" u="none" strike="noStrike" baseline="0">
              <a:solidFill>
                <a:srgbClr val="000000"/>
              </a:solidFill>
              <a:latin typeface="Calibri"/>
              <a:ea typeface="Calibri"/>
              <a:cs typeface="Calibri"/>
            </a:defRPr>
          </a:pPr>
          <a:endParaRPr lang="sk-SK"/>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sk-SK"/>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0" i="0" u="none" strike="noStrike" baseline="0">
                <a:solidFill>
                  <a:srgbClr val="000000"/>
                </a:solidFill>
                <a:latin typeface="Calibri"/>
                <a:ea typeface="Calibri"/>
                <a:cs typeface="Calibri"/>
              </a:defRPr>
            </a:pPr>
            <a:r>
              <a:rPr lang="en-US" sz="800" b="1" i="0" u="none" strike="noStrike" baseline="0">
                <a:solidFill>
                  <a:srgbClr val="000000"/>
                </a:solidFill>
                <a:latin typeface="Calibri"/>
                <a:cs typeface="Calibri"/>
              </a:rPr>
              <a:t>Podpora exportu z bankových aktivít za rok 2016</a:t>
            </a:r>
          </a:p>
        </c:rich>
      </c:tx>
      <c:layout>
        <c:manualLayout>
          <c:xMode val="edge"/>
          <c:yMode val="edge"/>
          <c:x val="4.8618300338640731E-4"/>
          <c:y val="0"/>
        </c:manualLayout>
      </c:layout>
      <c:overlay val="0"/>
    </c:title>
    <c:autoTitleDeleted val="0"/>
    <c:plotArea>
      <c:layout>
        <c:manualLayout>
          <c:layoutTarget val="inner"/>
          <c:xMode val="edge"/>
          <c:yMode val="edge"/>
          <c:x val="4.5328150102144034E-2"/>
          <c:y val="0.10930295768364923"/>
          <c:w val="0.53445248814930879"/>
          <c:h val="0.83864678970464657"/>
        </c:manualLayout>
      </c:layout>
      <c:pieChart>
        <c:varyColors val="1"/>
        <c:ser>
          <c:idx val="0"/>
          <c:order val="0"/>
          <c:tx>
            <c:strRef>
              <c:f>'Podpora exportu komodity'!$B$4</c:f>
              <c:strCache>
                <c:ptCount val="1"/>
                <c:pt idx="0">
                  <c:v>Skutočnosť za rok 2016</c:v>
                </c:pt>
              </c:strCache>
            </c:strRef>
          </c:tx>
          <c:explosion val="25"/>
          <c:dPt>
            <c:idx val="0"/>
            <c:bubble3D val="0"/>
            <c:spPr>
              <a:solidFill>
                <a:srgbClr val="0070C0"/>
              </a:solidFill>
            </c:spPr>
          </c:dPt>
          <c:dPt>
            <c:idx val="1"/>
            <c:bubble3D val="0"/>
            <c:spPr>
              <a:solidFill>
                <a:srgbClr val="FF0000"/>
              </a:solidFill>
            </c:spPr>
          </c:dPt>
          <c:dPt>
            <c:idx val="2"/>
            <c:bubble3D val="0"/>
            <c:spPr>
              <a:solidFill>
                <a:srgbClr val="00B050"/>
              </a:solidFill>
            </c:spPr>
          </c:dPt>
          <c:dPt>
            <c:idx val="3"/>
            <c:bubble3D val="0"/>
            <c:spPr>
              <a:solidFill>
                <a:srgbClr val="7030A0"/>
              </a:solidFill>
            </c:spPr>
          </c:dPt>
          <c:dPt>
            <c:idx val="4"/>
            <c:bubble3D val="0"/>
            <c:spPr>
              <a:solidFill>
                <a:schemeClr val="accent6"/>
              </a:solidFill>
            </c:spPr>
          </c:dPt>
          <c:dPt>
            <c:idx val="5"/>
            <c:bubble3D val="0"/>
            <c:spPr>
              <a:solidFill>
                <a:schemeClr val="tx1"/>
              </a:solidFill>
            </c:spPr>
          </c:dPt>
          <c:dPt>
            <c:idx val="6"/>
            <c:bubble3D val="0"/>
            <c:spPr>
              <a:solidFill>
                <a:srgbClr val="FFFF00"/>
              </a:solidFill>
            </c:spPr>
          </c:dPt>
          <c:dPt>
            <c:idx val="7"/>
            <c:bubble3D val="0"/>
          </c:dPt>
          <c:dLbls>
            <c:dLbl>
              <c:idx val="0"/>
              <c:delete val="1"/>
            </c:dLbl>
            <c:dLbl>
              <c:idx val="1"/>
              <c:layout>
                <c:manualLayout>
                  <c:x val="-4.0751832973019431E-3"/>
                  <c:y val="9.8481279583641787E-4"/>
                </c:manualLayout>
              </c:layout>
              <c:dLblPos val="bestFit"/>
              <c:showLegendKey val="0"/>
              <c:showVal val="0"/>
              <c:showCatName val="0"/>
              <c:showSerName val="0"/>
              <c:showPercent val="1"/>
              <c:showBubbleSize val="0"/>
            </c:dLbl>
            <c:dLbl>
              <c:idx val="2"/>
              <c:layout>
                <c:manualLayout>
                  <c:x val="-1.2311231876871814E-2"/>
                  <c:y val="0"/>
                </c:manualLayout>
              </c:layout>
              <c:dLblPos val="bestFit"/>
              <c:showLegendKey val="0"/>
              <c:showVal val="0"/>
              <c:showCatName val="0"/>
              <c:showSerName val="0"/>
              <c:showPercent val="1"/>
              <c:showBubbleSize val="0"/>
            </c:dLbl>
            <c:dLbl>
              <c:idx val="3"/>
              <c:layout>
                <c:manualLayout>
                  <c:x val="-8.2207104464586764E-3"/>
                  <c:y val="-3.8459224217526171E-3"/>
                </c:manualLayout>
              </c:layout>
              <c:dLblPos val="bestFit"/>
              <c:showLegendKey val="0"/>
              <c:showVal val="0"/>
              <c:showCatName val="0"/>
              <c:showSerName val="0"/>
              <c:showPercent val="1"/>
              <c:showBubbleSize val="0"/>
            </c:dLbl>
            <c:dLbl>
              <c:idx val="4"/>
              <c:layout>
                <c:manualLayout>
                  <c:x val="2.0543578148449329E-2"/>
                  <c:y val="-1.6269646136130217E-2"/>
                </c:manualLayout>
              </c:layout>
              <c:dLblPos val="bestFit"/>
              <c:showLegendKey val="0"/>
              <c:showVal val="0"/>
              <c:showCatName val="0"/>
              <c:showSerName val="0"/>
              <c:showPercent val="1"/>
              <c:showBubbleSize val="0"/>
            </c:dLbl>
            <c:dLbl>
              <c:idx val="5"/>
              <c:layout>
                <c:manualLayout>
                  <c:x val="3.3639802202417952E-3"/>
                  <c:y val="5.6981862023752446E-2"/>
                </c:manualLayout>
              </c:layout>
              <c:dLblPos val="bestFit"/>
              <c:showLegendKey val="0"/>
              <c:showVal val="0"/>
              <c:showCatName val="0"/>
              <c:showSerName val="0"/>
              <c:showPercent val="1"/>
              <c:showBubbleSize val="0"/>
            </c:dLbl>
            <c:dLbl>
              <c:idx val="6"/>
              <c:layout>
                <c:manualLayout>
                  <c:x val="1.7388682837819084E-2"/>
                  <c:y val="-3.1122591889452555E-5"/>
                </c:manualLayout>
              </c:layout>
              <c:dLblPos val="bestFit"/>
              <c:showLegendKey val="0"/>
              <c:showVal val="0"/>
              <c:showCatName val="0"/>
              <c:showSerName val="0"/>
              <c:showPercent val="1"/>
              <c:showBubbleSize val="0"/>
            </c:dLbl>
            <c:dLbl>
              <c:idx val="7"/>
              <c:layout>
                <c:manualLayout>
                  <c:x val="1.809856361279702E-2"/>
                  <c:y val="1.5344865836807237E-2"/>
                </c:manualLayout>
              </c:layout>
              <c:dLblPos val="bestFit"/>
              <c:showLegendKey val="0"/>
              <c:showVal val="0"/>
              <c:showCatName val="0"/>
              <c:showSerName val="0"/>
              <c:showPercent val="1"/>
              <c:showBubbleSize val="0"/>
            </c:dLbl>
            <c:numFmt formatCode="0.0%" sourceLinked="0"/>
            <c:txPr>
              <a:bodyPr/>
              <a:lstStyle/>
              <a:p>
                <a:pPr>
                  <a:defRPr sz="600" b="0" i="0" u="none" strike="noStrike" baseline="0">
                    <a:solidFill>
                      <a:srgbClr val="000000"/>
                    </a:solidFill>
                    <a:latin typeface="Calibri"/>
                    <a:ea typeface="Calibri"/>
                    <a:cs typeface="Calibri"/>
                  </a:defRPr>
                </a:pPr>
                <a:endParaRPr lang="sk-SK"/>
              </a:p>
            </c:txPr>
            <c:showLegendKey val="0"/>
            <c:showVal val="0"/>
            <c:showCatName val="0"/>
            <c:showSerName val="0"/>
            <c:showPercent val="1"/>
            <c:showBubbleSize val="0"/>
            <c:showLeaderLines val="1"/>
          </c:dLbls>
          <c:cat>
            <c:strRef>
              <c:f>'Podpora exportu komodity'!$A$6:$A$13</c:f>
              <c:strCache>
                <c:ptCount val="8"/>
                <c:pt idx="0">
                  <c:v>surové materiály</c:v>
                </c:pt>
                <c:pt idx="1">
                  <c:v>nerastné palivá a mazivá</c:v>
                </c:pt>
                <c:pt idx="2">
                  <c:v>ostatné </c:v>
                </c:pt>
                <c:pt idx="3">
                  <c:v>potraviny </c:v>
                </c:pt>
                <c:pt idx="4">
                  <c:v>chemikálie</c:v>
                </c:pt>
                <c:pt idx="5">
                  <c:v>priemyselné výrobky</c:v>
                </c:pt>
                <c:pt idx="6">
                  <c:v>stroje a prepravné zariadenia </c:v>
                </c:pt>
                <c:pt idx="7">
                  <c:v>trhové výrobky</c:v>
                </c:pt>
              </c:strCache>
            </c:strRef>
          </c:cat>
          <c:val>
            <c:numRef>
              <c:f>'Podpora exportu komodity'!$B$6:$B$13</c:f>
              <c:numCache>
                <c:formatCode>#,##0.0</c:formatCode>
                <c:ptCount val="8"/>
                <c:pt idx="0">
                  <c:v>0</c:v>
                </c:pt>
                <c:pt idx="1">
                  <c:v>367782.88500000001</c:v>
                </c:pt>
                <c:pt idx="2">
                  <c:v>40896.808080000003</c:v>
                </c:pt>
                <c:pt idx="3">
                  <c:v>29668.238099999999</c:v>
                </c:pt>
                <c:pt idx="4">
                  <c:v>130369.99528</c:v>
                </c:pt>
                <c:pt idx="5">
                  <c:v>135618.46351</c:v>
                </c:pt>
                <c:pt idx="6">
                  <c:v>80980.218070000003</c:v>
                </c:pt>
                <c:pt idx="7">
                  <c:v>109096.35722999999</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5857659480222408"/>
          <c:y val="7.6388534437147923E-2"/>
          <c:w val="0.31791374944630668"/>
          <c:h val="0.92027968835911333"/>
        </c:manualLayout>
      </c:layout>
      <c:overlay val="0"/>
      <c:txPr>
        <a:bodyPr/>
        <a:lstStyle/>
        <a:p>
          <a:pPr>
            <a:defRPr sz="735" b="0" i="0" u="none" strike="noStrike" baseline="0">
              <a:solidFill>
                <a:srgbClr val="000000"/>
              </a:solidFill>
              <a:latin typeface="Calibri"/>
              <a:ea typeface="Calibri"/>
              <a:cs typeface="Calibri"/>
            </a:defRPr>
          </a:pPr>
          <a:endParaRPr lang="sk-SK"/>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sk-SK"/>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0" i="0" u="none" strike="noStrike" baseline="0">
                <a:solidFill>
                  <a:srgbClr val="000000"/>
                </a:solidFill>
                <a:latin typeface="Calibri"/>
                <a:ea typeface="Calibri"/>
                <a:cs typeface="Calibri"/>
              </a:defRPr>
            </a:pPr>
            <a:r>
              <a:rPr lang="en-US" sz="800" b="1" i="0" u="none" strike="noStrike" baseline="0">
                <a:solidFill>
                  <a:srgbClr val="000000"/>
                </a:solidFill>
                <a:latin typeface="Calibri"/>
                <a:cs typeface="Calibri"/>
              </a:rPr>
              <a:t>Podpora exportu z poisťovacích aktivít za rok 2016</a:t>
            </a:r>
          </a:p>
        </c:rich>
      </c:tx>
      <c:layout>
        <c:manualLayout>
          <c:xMode val="edge"/>
          <c:yMode val="edge"/>
          <c:x val="3.1882196526864935E-2"/>
          <c:y val="6.0073748866773281E-3"/>
        </c:manualLayout>
      </c:layout>
      <c:overlay val="0"/>
    </c:title>
    <c:autoTitleDeleted val="0"/>
    <c:plotArea>
      <c:layout>
        <c:manualLayout>
          <c:layoutTarget val="inner"/>
          <c:xMode val="edge"/>
          <c:yMode val="edge"/>
          <c:x val="3.5252583351514308E-2"/>
          <c:y val="0.11716254933782132"/>
          <c:w val="0.56803771065140785"/>
          <c:h val="0.86072889743743863"/>
        </c:manualLayout>
      </c:layout>
      <c:pieChart>
        <c:varyColors val="1"/>
        <c:ser>
          <c:idx val="0"/>
          <c:order val="0"/>
          <c:tx>
            <c:strRef>
              <c:f>'Podpora exportu komodity'!$B$20</c:f>
              <c:strCache>
                <c:ptCount val="1"/>
                <c:pt idx="0">
                  <c:v>Skutočnosť za rok 2016</c:v>
                </c:pt>
              </c:strCache>
            </c:strRef>
          </c:tx>
          <c:explosion val="25"/>
          <c:dPt>
            <c:idx val="0"/>
            <c:bubble3D val="0"/>
            <c:spPr>
              <a:solidFill>
                <a:srgbClr val="0070C0"/>
              </a:solidFill>
            </c:spPr>
          </c:dPt>
          <c:dPt>
            <c:idx val="1"/>
            <c:bubble3D val="0"/>
            <c:spPr>
              <a:solidFill>
                <a:srgbClr val="FF0000"/>
              </a:solidFill>
            </c:spPr>
          </c:dPt>
          <c:dPt>
            <c:idx val="2"/>
            <c:bubble3D val="0"/>
            <c:spPr>
              <a:solidFill>
                <a:srgbClr val="00B050"/>
              </a:solidFill>
            </c:spPr>
          </c:dPt>
          <c:dPt>
            <c:idx val="3"/>
            <c:bubble3D val="0"/>
            <c:spPr>
              <a:solidFill>
                <a:srgbClr val="7030A0"/>
              </a:solidFill>
            </c:spPr>
          </c:dPt>
          <c:dPt>
            <c:idx val="4"/>
            <c:bubble3D val="0"/>
            <c:spPr>
              <a:solidFill>
                <a:schemeClr val="accent6"/>
              </a:solidFill>
            </c:spPr>
          </c:dPt>
          <c:dPt>
            <c:idx val="5"/>
            <c:bubble3D val="0"/>
            <c:spPr>
              <a:solidFill>
                <a:schemeClr val="tx1"/>
              </a:solidFill>
            </c:spPr>
          </c:dPt>
          <c:dPt>
            <c:idx val="6"/>
            <c:bubble3D val="0"/>
            <c:spPr>
              <a:solidFill>
                <a:srgbClr val="FFFF00"/>
              </a:solidFill>
            </c:spPr>
          </c:dPt>
          <c:dPt>
            <c:idx val="7"/>
            <c:bubble3D val="0"/>
          </c:dPt>
          <c:dLbls>
            <c:dLbl>
              <c:idx val="0"/>
              <c:layout>
                <c:manualLayout>
                  <c:x val="-5.3472064591814439E-3"/>
                  <c:y val="1.4893484437928137E-2"/>
                </c:manualLayout>
              </c:layout>
              <c:dLblPos val="bestFit"/>
              <c:showLegendKey val="0"/>
              <c:showVal val="0"/>
              <c:showCatName val="0"/>
              <c:showSerName val="0"/>
              <c:showPercent val="1"/>
              <c:showBubbleSize val="0"/>
            </c:dLbl>
            <c:dLbl>
              <c:idx val="1"/>
              <c:delete val="1"/>
            </c:dLbl>
            <c:dLbl>
              <c:idx val="2"/>
              <c:layout>
                <c:manualLayout>
                  <c:x val="-1.0914668412040434E-2"/>
                  <c:y val="8.4342128989601493E-3"/>
                </c:manualLayout>
              </c:layout>
              <c:dLblPos val="bestFit"/>
              <c:showLegendKey val="0"/>
              <c:showVal val="0"/>
              <c:showCatName val="0"/>
              <c:showSerName val="0"/>
              <c:showPercent val="1"/>
              <c:showBubbleSize val="0"/>
            </c:dLbl>
            <c:dLbl>
              <c:idx val="3"/>
              <c:layout>
                <c:manualLayout>
                  <c:x val="-1.5856794041464516E-2"/>
                  <c:y val="6.8644817544496091E-3"/>
                </c:manualLayout>
              </c:layout>
              <c:dLblPos val="bestFit"/>
              <c:showLegendKey val="0"/>
              <c:showVal val="0"/>
              <c:showCatName val="0"/>
              <c:showSerName val="0"/>
              <c:showPercent val="1"/>
              <c:showBubbleSize val="0"/>
            </c:dLbl>
            <c:dLbl>
              <c:idx val="4"/>
              <c:layout>
                <c:manualLayout>
                  <c:x val="-6.1732192595955371E-4"/>
                  <c:y val="2.6279117488413335E-2"/>
                </c:manualLayout>
              </c:layout>
              <c:dLblPos val="bestFit"/>
              <c:showLegendKey val="0"/>
              <c:showVal val="0"/>
              <c:showCatName val="0"/>
              <c:showSerName val="0"/>
              <c:showPercent val="1"/>
              <c:showBubbleSize val="0"/>
            </c:dLbl>
            <c:dLbl>
              <c:idx val="5"/>
              <c:layout>
                <c:manualLayout>
                  <c:x val="-1.4051316633279782E-2"/>
                  <c:y val="1.1568992807196834E-2"/>
                </c:manualLayout>
              </c:layout>
              <c:dLblPos val="bestFit"/>
              <c:showLegendKey val="0"/>
              <c:showVal val="0"/>
              <c:showCatName val="0"/>
              <c:showSerName val="0"/>
              <c:showPercent val="1"/>
              <c:showBubbleSize val="0"/>
            </c:dLbl>
            <c:dLbl>
              <c:idx val="6"/>
              <c:layout>
                <c:manualLayout>
                  <c:x val="-5.9035945443847229E-3"/>
                  <c:y val="8.5993067660435573E-4"/>
                </c:manualLayout>
              </c:layout>
              <c:dLblPos val="bestFit"/>
              <c:showLegendKey val="0"/>
              <c:showVal val="0"/>
              <c:showCatName val="0"/>
              <c:showSerName val="0"/>
              <c:showPercent val="1"/>
              <c:showBubbleSize val="0"/>
            </c:dLbl>
            <c:dLbl>
              <c:idx val="7"/>
              <c:layout>
                <c:manualLayout>
                  <c:x val="2.1290711956740795E-3"/>
                  <c:y val="0.10632822264497066"/>
                </c:manualLayout>
              </c:layout>
              <c:dLblPos val="bestFit"/>
              <c:showLegendKey val="0"/>
              <c:showVal val="0"/>
              <c:showCatName val="0"/>
              <c:showSerName val="0"/>
              <c:showPercent val="1"/>
              <c:showBubbleSize val="0"/>
            </c:dLbl>
            <c:numFmt formatCode="0.0%" sourceLinked="0"/>
            <c:txPr>
              <a:bodyPr/>
              <a:lstStyle/>
              <a:p>
                <a:pPr>
                  <a:defRPr sz="600" b="0" i="0" u="none" strike="noStrike" baseline="0">
                    <a:solidFill>
                      <a:srgbClr val="000000"/>
                    </a:solidFill>
                    <a:latin typeface="Calibri"/>
                    <a:ea typeface="Calibri"/>
                    <a:cs typeface="Calibri"/>
                  </a:defRPr>
                </a:pPr>
                <a:endParaRPr lang="sk-SK"/>
              </a:p>
            </c:txPr>
            <c:showLegendKey val="0"/>
            <c:showVal val="0"/>
            <c:showCatName val="0"/>
            <c:showSerName val="0"/>
            <c:showPercent val="1"/>
            <c:showBubbleSize val="0"/>
            <c:showLeaderLines val="1"/>
          </c:dLbls>
          <c:cat>
            <c:strRef>
              <c:f>'Podpora exportu komodity'!$A$22:$A$29</c:f>
              <c:strCache>
                <c:ptCount val="8"/>
                <c:pt idx="0">
                  <c:v>surové materiály</c:v>
                </c:pt>
                <c:pt idx="1">
                  <c:v>nerastné palivá a mazivá</c:v>
                </c:pt>
                <c:pt idx="2">
                  <c:v>ostatné </c:v>
                </c:pt>
                <c:pt idx="3">
                  <c:v>potraviny </c:v>
                </c:pt>
                <c:pt idx="4">
                  <c:v>chemikálie</c:v>
                </c:pt>
                <c:pt idx="5">
                  <c:v>priemyselné výrobky</c:v>
                </c:pt>
                <c:pt idx="6">
                  <c:v>stroje a prepravné zariadenia </c:v>
                </c:pt>
                <c:pt idx="7">
                  <c:v>trhové výrobky</c:v>
                </c:pt>
              </c:strCache>
            </c:strRef>
          </c:cat>
          <c:val>
            <c:numRef>
              <c:f>'Podpora exportu komodity'!$B$22:$B$29</c:f>
              <c:numCache>
                <c:formatCode>#,##0.0</c:formatCode>
                <c:ptCount val="8"/>
                <c:pt idx="0">
                  <c:v>21976.662</c:v>
                </c:pt>
                <c:pt idx="1">
                  <c:v>169.47800000000001</c:v>
                </c:pt>
                <c:pt idx="2">
                  <c:v>67732.255000000005</c:v>
                </c:pt>
                <c:pt idx="3">
                  <c:v>5264.9009999999998</c:v>
                </c:pt>
                <c:pt idx="4">
                  <c:v>5201.3040000000001</c:v>
                </c:pt>
                <c:pt idx="5">
                  <c:v>41530.572</c:v>
                </c:pt>
                <c:pt idx="6">
                  <c:v>200664.63399999999</c:v>
                </c:pt>
                <c:pt idx="7">
                  <c:v>435228.90299999999</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egendEntry>
        <c:idx val="1"/>
        <c:delete val="1"/>
      </c:legendEntry>
      <c:layout>
        <c:manualLayout>
          <c:xMode val="edge"/>
          <c:yMode val="edge"/>
          <c:x val="0.66193511705243402"/>
          <c:y val="0.10568692272244595"/>
          <c:w val="0.31791374944630668"/>
          <c:h val="0.88341888561639725"/>
        </c:manualLayout>
      </c:layout>
      <c:overlay val="0"/>
      <c:txPr>
        <a:bodyPr/>
        <a:lstStyle/>
        <a:p>
          <a:pPr>
            <a:defRPr sz="735" b="0" i="0" u="none" strike="noStrike" baseline="0">
              <a:solidFill>
                <a:srgbClr val="000000"/>
              </a:solidFill>
              <a:latin typeface="Calibri"/>
              <a:ea typeface="Calibri"/>
              <a:cs typeface="Calibri"/>
            </a:defRPr>
          </a:pPr>
          <a:endParaRPr lang="sk-SK"/>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sk-SK"/>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0" i="0" u="none" strike="noStrike" baseline="0">
                <a:solidFill>
                  <a:srgbClr val="000000"/>
                </a:solidFill>
                <a:latin typeface="Calibri"/>
                <a:ea typeface="Calibri"/>
                <a:cs typeface="Calibri"/>
              </a:defRPr>
            </a:pPr>
            <a:r>
              <a:rPr lang="en-US" sz="800" b="1" i="0" u="none" strike="noStrike" baseline="0">
                <a:solidFill>
                  <a:srgbClr val="000000"/>
                </a:solidFill>
                <a:latin typeface="Calibri"/>
                <a:cs typeface="Calibri"/>
              </a:rPr>
              <a:t>Podpora exportu z bankových aktivít za 1.polrok 2017</a:t>
            </a:r>
          </a:p>
        </c:rich>
      </c:tx>
      <c:layout>
        <c:manualLayout>
          <c:xMode val="edge"/>
          <c:yMode val="edge"/>
          <c:x val="2.7400983139468902E-2"/>
          <c:y val="2.6058219309773895E-4"/>
        </c:manualLayout>
      </c:layout>
      <c:overlay val="0"/>
    </c:title>
    <c:autoTitleDeleted val="0"/>
    <c:plotArea>
      <c:layout>
        <c:manualLayout>
          <c:layoutTarget val="inner"/>
          <c:xMode val="edge"/>
          <c:yMode val="edge"/>
          <c:x val="5.8762239102983671E-2"/>
          <c:y val="0.13977114520763956"/>
          <c:w val="0.52437692139867909"/>
          <c:h val="0.82283651302480476"/>
        </c:manualLayout>
      </c:layout>
      <c:pieChart>
        <c:varyColors val="1"/>
        <c:ser>
          <c:idx val="0"/>
          <c:order val="0"/>
          <c:tx>
            <c:strRef>
              <c:f>'Podpora exportu komodity'!$C$4</c:f>
              <c:strCache>
                <c:ptCount val="1"/>
                <c:pt idx="0">
                  <c:v>Skutočnosť za 1.H.2017</c:v>
                </c:pt>
              </c:strCache>
            </c:strRef>
          </c:tx>
          <c:explosion val="25"/>
          <c:dPt>
            <c:idx val="0"/>
            <c:bubble3D val="0"/>
            <c:spPr>
              <a:solidFill>
                <a:srgbClr val="0070C0"/>
              </a:solidFill>
            </c:spPr>
          </c:dPt>
          <c:dPt>
            <c:idx val="1"/>
            <c:bubble3D val="0"/>
            <c:spPr>
              <a:solidFill>
                <a:srgbClr val="FF0000"/>
              </a:solidFill>
            </c:spPr>
          </c:dPt>
          <c:dPt>
            <c:idx val="2"/>
            <c:bubble3D val="0"/>
            <c:spPr>
              <a:solidFill>
                <a:srgbClr val="00B050"/>
              </a:solidFill>
            </c:spPr>
          </c:dPt>
          <c:dPt>
            <c:idx val="3"/>
            <c:bubble3D val="0"/>
            <c:spPr>
              <a:solidFill>
                <a:srgbClr val="7030A0"/>
              </a:solidFill>
            </c:spPr>
          </c:dPt>
          <c:dPt>
            <c:idx val="4"/>
            <c:bubble3D val="0"/>
            <c:spPr>
              <a:solidFill>
                <a:schemeClr val="accent6"/>
              </a:solidFill>
            </c:spPr>
          </c:dPt>
          <c:dPt>
            <c:idx val="5"/>
            <c:bubble3D val="0"/>
            <c:spPr>
              <a:solidFill>
                <a:schemeClr val="tx1"/>
              </a:solidFill>
            </c:spPr>
          </c:dPt>
          <c:dPt>
            <c:idx val="6"/>
            <c:bubble3D val="0"/>
            <c:spPr>
              <a:solidFill>
                <a:srgbClr val="FFFF00"/>
              </a:solidFill>
            </c:spPr>
          </c:dPt>
          <c:dPt>
            <c:idx val="7"/>
            <c:bubble3D val="0"/>
          </c:dPt>
          <c:dLbls>
            <c:dLbl>
              <c:idx val="0"/>
              <c:delete val="1"/>
            </c:dLbl>
            <c:dLbl>
              <c:idx val="1"/>
              <c:layout>
                <c:manualLayout>
                  <c:x val="-3.1980007536841271E-3"/>
                  <c:y val="1.4860000207483947E-2"/>
                </c:manualLayout>
              </c:layout>
              <c:dLblPos val="bestFit"/>
              <c:showLegendKey val="0"/>
              <c:showVal val="0"/>
              <c:showCatName val="0"/>
              <c:showSerName val="0"/>
              <c:showPercent val="1"/>
              <c:showBubbleSize val="0"/>
            </c:dLbl>
            <c:dLbl>
              <c:idx val="2"/>
              <c:layout>
                <c:manualLayout>
                  <c:x val="2.462897043006761E-2"/>
                  <c:y val="-1.0533885834364357E-2"/>
                </c:manualLayout>
              </c:layout>
              <c:dLblPos val="bestFit"/>
              <c:showLegendKey val="0"/>
              <c:showVal val="0"/>
              <c:showCatName val="0"/>
              <c:showSerName val="0"/>
              <c:showPercent val="1"/>
              <c:showBubbleSize val="0"/>
            </c:dLbl>
            <c:dLbl>
              <c:idx val="3"/>
              <c:layout>
                <c:manualLayout>
                  <c:x val="1.6162272932661013E-2"/>
                  <c:y val="-1.8250149356417174E-2"/>
                </c:manualLayout>
              </c:layout>
              <c:dLblPos val="bestFit"/>
              <c:showLegendKey val="0"/>
              <c:showVal val="0"/>
              <c:showCatName val="0"/>
              <c:showSerName val="0"/>
              <c:showPercent val="1"/>
              <c:showBubbleSize val="0"/>
            </c:dLbl>
            <c:dLbl>
              <c:idx val="4"/>
              <c:layout>
                <c:manualLayout>
                  <c:x val="1.5428275041313898E-2"/>
                  <c:y val="-2.1301257917551934E-2"/>
                </c:manualLayout>
              </c:layout>
              <c:dLblPos val="bestFit"/>
              <c:showLegendKey val="0"/>
              <c:showVal val="0"/>
              <c:showCatName val="0"/>
              <c:showSerName val="0"/>
              <c:showPercent val="1"/>
              <c:showBubbleSize val="0"/>
            </c:dLbl>
            <c:dLbl>
              <c:idx val="5"/>
              <c:layout>
                <c:manualLayout>
                  <c:x val="8.1527466497418304E-3"/>
                  <c:y val="5.6037264116688967E-3"/>
                </c:manualLayout>
              </c:layout>
              <c:dLblPos val="bestFit"/>
              <c:showLegendKey val="0"/>
              <c:showVal val="0"/>
              <c:showCatName val="0"/>
              <c:showSerName val="0"/>
              <c:showPercent val="1"/>
              <c:showBubbleSize val="0"/>
            </c:dLbl>
            <c:dLbl>
              <c:idx val="6"/>
              <c:layout>
                <c:manualLayout>
                  <c:x val="7.617498694275306E-3"/>
                  <c:y val="8.2209289056259273E-3"/>
                </c:manualLayout>
              </c:layout>
              <c:dLblPos val="bestFit"/>
              <c:showLegendKey val="0"/>
              <c:showVal val="0"/>
              <c:showCatName val="0"/>
              <c:showSerName val="0"/>
              <c:showPercent val="1"/>
              <c:showBubbleSize val="0"/>
            </c:dLbl>
            <c:dLbl>
              <c:idx val="7"/>
              <c:layout>
                <c:manualLayout>
                  <c:x val="1.4410176057967565E-2"/>
                  <c:y val="1.3440810017324922E-2"/>
                </c:manualLayout>
              </c:layout>
              <c:dLblPos val="bestFit"/>
              <c:showLegendKey val="0"/>
              <c:showVal val="0"/>
              <c:showCatName val="0"/>
              <c:showSerName val="0"/>
              <c:showPercent val="1"/>
              <c:showBubbleSize val="0"/>
            </c:dLbl>
            <c:numFmt formatCode="0.0%" sourceLinked="0"/>
            <c:txPr>
              <a:bodyPr/>
              <a:lstStyle/>
              <a:p>
                <a:pPr>
                  <a:defRPr sz="600" b="0" i="0" u="none" strike="noStrike" baseline="0">
                    <a:solidFill>
                      <a:srgbClr val="000000"/>
                    </a:solidFill>
                    <a:latin typeface="Calibri"/>
                    <a:ea typeface="Calibri"/>
                    <a:cs typeface="Calibri"/>
                  </a:defRPr>
                </a:pPr>
                <a:endParaRPr lang="sk-SK"/>
              </a:p>
            </c:txPr>
            <c:showLegendKey val="0"/>
            <c:showVal val="0"/>
            <c:showCatName val="0"/>
            <c:showSerName val="0"/>
            <c:showPercent val="1"/>
            <c:showBubbleSize val="0"/>
            <c:showLeaderLines val="1"/>
          </c:dLbls>
          <c:cat>
            <c:strRef>
              <c:f>'Podpora exportu komodity'!$A$6:$A$13</c:f>
              <c:strCache>
                <c:ptCount val="8"/>
                <c:pt idx="0">
                  <c:v>surové materiály</c:v>
                </c:pt>
                <c:pt idx="1">
                  <c:v>nerastné palivá a mazivá</c:v>
                </c:pt>
                <c:pt idx="2">
                  <c:v>ostatné </c:v>
                </c:pt>
                <c:pt idx="3">
                  <c:v>potraviny </c:v>
                </c:pt>
                <c:pt idx="4">
                  <c:v>chemikálie</c:v>
                </c:pt>
                <c:pt idx="5">
                  <c:v>priemyselné výrobky</c:v>
                </c:pt>
                <c:pt idx="6">
                  <c:v>stroje a prepravné zariadenia </c:v>
                </c:pt>
                <c:pt idx="7">
                  <c:v>trhové výrobky</c:v>
                </c:pt>
              </c:strCache>
            </c:strRef>
          </c:cat>
          <c:val>
            <c:numRef>
              <c:f>'Podpora exportu komodity'!$C$6:$C$13</c:f>
              <c:numCache>
                <c:formatCode>#,##0.0</c:formatCode>
                <c:ptCount val="8"/>
                <c:pt idx="0">
                  <c:v>0</c:v>
                </c:pt>
                <c:pt idx="1">
                  <c:v>271423.53909999999</c:v>
                </c:pt>
                <c:pt idx="2">
                  <c:v>10215.185320000001</c:v>
                </c:pt>
                <c:pt idx="3">
                  <c:v>11115.451129999999</c:v>
                </c:pt>
                <c:pt idx="4">
                  <c:v>21863.732810000001</c:v>
                </c:pt>
                <c:pt idx="5">
                  <c:v>47869.81349</c:v>
                </c:pt>
                <c:pt idx="6">
                  <c:v>46260.353690000004</c:v>
                </c:pt>
                <c:pt idx="7">
                  <c:v>73834.446930000006</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6193511705243402"/>
          <c:y val="8.1921301339308861E-2"/>
          <c:w val="0.31791374944630668"/>
          <c:h val="0.9092145695226832"/>
        </c:manualLayout>
      </c:layout>
      <c:overlay val="0"/>
      <c:txPr>
        <a:bodyPr/>
        <a:lstStyle/>
        <a:p>
          <a:pPr>
            <a:defRPr sz="735" b="0" i="0" u="none" strike="noStrike" baseline="0">
              <a:solidFill>
                <a:srgbClr val="000000"/>
              </a:solidFill>
              <a:latin typeface="Calibri"/>
              <a:ea typeface="Calibri"/>
              <a:cs typeface="Calibri"/>
            </a:defRPr>
          </a:pPr>
          <a:endParaRPr lang="sk-SK"/>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sk-SK"/>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0" i="0" u="none" strike="noStrike" baseline="0">
                <a:solidFill>
                  <a:srgbClr val="000000"/>
                </a:solidFill>
                <a:latin typeface="Calibri"/>
                <a:ea typeface="Calibri"/>
                <a:cs typeface="Calibri"/>
              </a:defRPr>
            </a:pPr>
            <a:r>
              <a:rPr lang="en-US" sz="800" b="1" i="0" u="none" strike="noStrike" baseline="0">
                <a:solidFill>
                  <a:srgbClr val="000000"/>
                </a:solidFill>
                <a:latin typeface="Calibri"/>
                <a:cs typeface="Calibri"/>
              </a:rPr>
              <a:t>Podpora exportu z poisťovacích aktivít za 1.polrok 2017</a:t>
            </a:r>
          </a:p>
        </c:rich>
      </c:tx>
      <c:layout>
        <c:manualLayout>
          <c:xMode val="edge"/>
          <c:yMode val="edge"/>
          <c:x val="3.8134781175051414E-3"/>
          <c:y val="0"/>
        </c:manualLayout>
      </c:layout>
      <c:overlay val="0"/>
    </c:title>
    <c:autoTitleDeleted val="0"/>
    <c:plotArea>
      <c:layout>
        <c:manualLayout>
          <c:layoutTarget val="inner"/>
          <c:xMode val="edge"/>
          <c:yMode val="edge"/>
          <c:x val="4.5328150102144034E-2"/>
          <c:y val="0.12472840641112755"/>
          <c:w val="0.55796214390077814"/>
          <c:h val="0.84331587993125223"/>
        </c:manualLayout>
      </c:layout>
      <c:pieChart>
        <c:varyColors val="1"/>
        <c:ser>
          <c:idx val="0"/>
          <c:order val="0"/>
          <c:tx>
            <c:strRef>
              <c:f>'Podpora exportu komodity'!$C$20</c:f>
              <c:strCache>
                <c:ptCount val="1"/>
                <c:pt idx="0">
                  <c:v>Skutočnosť za 1.H.2017</c:v>
                </c:pt>
              </c:strCache>
            </c:strRef>
          </c:tx>
          <c:explosion val="25"/>
          <c:dPt>
            <c:idx val="0"/>
            <c:bubble3D val="0"/>
            <c:spPr>
              <a:solidFill>
                <a:srgbClr val="0070C0"/>
              </a:solidFill>
            </c:spPr>
          </c:dPt>
          <c:dPt>
            <c:idx val="1"/>
            <c:bubble3D val="0"/>
            <c:spPr>
              <a:solidFill>
                <a:srgbClr val="FF0000"/>
              </a:solidFill>
            </c:spPr>
          </c:dPt>
          <c:dPt>
            <c:idx val="2"/>
            <c:bubble3D val="0"/>
            <c:spPr>
              <a:solidFill>
                <a:srgbClr val="00B050"/>
              </a:solidFill>
            </c:spPr>
          </c:dPt>
          <c:dPt>
            <c:idx val="3"/>
            <c:bubble3D val="0"/>
            <c:spPr>
              <a:solidFill>
                <a:srgbClr val="7030A0"/>
              </a:solidFill>
            </c:spPr>
          </c:dPt>
          <c:dPt>
            <c:idx val="4"/>
            <c:bubble3D val="0"/>
            <c:spPr>
              <a:solidFill>
                <a:schemeClr val="accent6"/>
              </a:solidFill>
            </c:spPr>
          </c:dPt>
          <c:dPt>
            <c:idx val="5"/>
            <c:bubble3D val="0"/>
            <c:spPr>
              <a:solidFill>
                <a:schemeClr val="tx1"/>
              </a:solidFill>
            </c:spPr>
          </c:dPt>
          <c:dPt>
            <c:idx val="6"/>
            <c:bubble3D val="0"/>
            <c:spPr>
              <a:solidFill>
                <a:srgbClr val="FFFF00"/>
              </a:solidFill>
            </c:spPr>
          </c:dPt>
          <c:dPt>
            <c:idx val="7"/>
            <c:bubble3D val="0"/>
          </c:dPt>
          <c:dLbls>
            <c:dLbl>
              <c:idx val="0"/>
              <c:layout>
                <c:manualLayout>
                  <c:x val="-1.2189320163694903E-2"/>
                  <c:y val="1.3366641352572045E-2"/>
                </c:manualLayout>
              </c:layout>
              <c:dLblPos val="bestFit"/>
              <c:showLegendKey val="0"/>
              <c:showVal val="0"/>
              <c:showCatName val="0"/>
              <c:showSerName val="0"/>
              <c:showPercent val="1"/>
              <c:showBubbleSize val="0"/>
            </c:dLbl>
            <c:dLbl>
              <c:idx val="1"/>
              <c:delete val="1"/>
            </c:dLbl>
            <c:dLbl>
              <c:idx val="2"/>
              <c:layout>
                <c:manualLayout>
                  <c:x val="-2.1231048110803983E-2"/>
                  <c:y val="-1.6275321681376291E-2"/>
                </c:manualLayout>
              </c:layout>
              <c:dLblPos val="bestFit"/>
              <c:showLegendKey val="0"/>
              <c:showVal val="0"/>
              <c:showCatName val="0"/>
              <c:showSerName val="0"/>
              <c:showPercent val="1"/>
              <c:showBubbleSize val="0"/>
            </c:dLbl>
            <c:dLbl>
              <c:idx val="3"/>
              <c:layout>
                <c:manualLayout>
                  <c:x val="8.9162154478800975E-3"/>
                  <c:y val="-1.2591230664694832E-2"/>
                </c:manualLayout>
              </c:layout>
              <c:dLblPos val="bestFit"/>
              <c:showLegendKey val="0"/>
              <c:showVal val="0"/>
              <c:showCatName val="0"/>
              <c:showSerName val="0"/>
              <c:showPercent val="1"/>
              <c:showBubbleSize val="0"/>
            </c:dLbl>
            <c:dLbl>
              <c:idx val="4"/>
              <c:layout>
                <c:manualLayout>
                  <c:x val="-1.4662197452018749E-2"/>
                  <c:y val="1.9211799032735122E-2"/>
                </c:manualLayout>
              </c:layout>
              <c:dLblPos val="bestFit"/>
              <c:showLegendKey val="0"/>
              <c:showVal val="0"/>
              <c:showCatName val="0"/>
              <c:showSerName val="0"/>
              <c:showPercent val="1"/>
              <c:showBubbleSize val="0"/>
            </c:dLbl>
            <c:dLbl>
              <c:idx val="5"/>
              <c:layout>
                <c:manualLayout>
                  <c:x val="-1.4710327455919395E-2"/>
                  <c:y val="1.7112994124465406E-2"/>
                </c:manualLayout>
              </c:layout>
              <c:dLblPos val="bestFit"/>
              <c:showLegendKey val="0"/>
              <c:showVal val="0"/>
              <c:showCatName val="0"/>
              <c:showSerName val="0"/>
              <c:showPercent val="1"/>
              <c:showBubbleSize val="0"/>
            </c:dLbl>
            <c:dLbl>
              <c:idx val="6"/>
              <c:layout>
                <c:manualLayout>
                  <c:x val="-1.0070277739212069E-2"/>
                  <c:y val="-1.0060307347077751E-2"/>
                </c:manualLayout>
              </c:layout>
              <c:dLblPos val="bestFit"/>
              <c:showLegendKey val="0"/>
              <c:showVal val="0"/>
              <c:showCatName val="0"/>
              <c:showSerName val="0"/>
              <c:showPercent val="1"/>
              <c:showBubbleSize val="0"/>
            </c:dLbl>
            <c:dLbl>
              <c:idx val="7"/>
              <c:layout>
                <c:manualLayout>
                  <c:x val="1.0075566750629726E-2"/>
                  <c:y val="-1.1144330308965186E-2"/>
                </c:manualLayout>
              </c:layout>
              <c:dLblPos val="bestFit"/>
              <c:showLegendKey val="0"/>
              <c:showVal val="0"/>
              <c:showCatName val="0"/>
              <c:showSerName val="0"/>
              <c:showPercent val="1"/>
              <c:showBubbleSize val="0"/>
            </c:dLbl>
            <c:dLbl>
              <c:idx val="8"/>
              <c:delete val="1"/>
            </c:dLbl>
            <c:numFmt formatCode="0.0%" sourceLinked="0"/>
            <c:txPr>
              <a:bodyPr/>
              <a:lstStyle/>
              <a:p>
                <a:pPr>
                  <a:defRPr sz="600" b="0" i="0" u="none" strike="noStrike" baseline="0">
                    <a:solidFill>
                      <a:srgbClr val="000000"/>
                    </a:solidFill>
                    <a:latin typeface="Calibri"/>
                    <a:ea typeface="Calibri"/>
                    <a:cs typeface="Calibri"/>
                  </a:defRPr>
                </a:pPr>
                <a:endParaRPr lang="sk-SK"/>
              </a:p>
            </c:txPr>
            <c:showLegendKey val="0"/>
            <c:showVal val="0"/>
            <c:showCatName val="0"/>
            <c:showSerName val="0"/>
            <c:showPercent val="1"/>
            <c:showBubbleSize val="0"/>
            <c:showLeaderLines val="1"/>
          </c:dLbls>
          <c:cat>
            <c:strRef>
              <c:f>'Podpora exportu komodity'!$A$22:$A$29</c:f>
              <c:strCache>
                <c:ptCount val="8"/>
                <c:pt idx="0">
                  <c:v>surové materiály</c:v>
                </c:pt>
                <c:pt idx="1">
                  <c:v>nerastné palivá a mazivá</c:v>
                </c:pt>
                <c:pt idx="2">
                  <c:v>ostatné </c:v>
                </c:pt>
                <c:pt idx="3">
                  <c:v>potraviny </c:v>
                </c:pt>
                <c:pt idx="4">
                  <c:v>chemikálie</c:v>
                </c:pt>
                <c:pt idx="5">
                  <c:v>priemyselné výrobky</c:v>
                </c:pt>
                <c:pt idx="6">
                  <c:v>stroje a prepravné zariadenia </c:v>
                </c:pt>
                <c:pt idx="7">
                  <c:v>trhové výrobky</c:v>
                </c:pt>
              </c:strCache>
            </c:strRef>
          </c:cat>
          <c:val>
            <c:numRef>
              <c:f>'Podpora exportu komodity'!$C$22:$C$29</c:f>
              <c:numCache>
                <c:formatCode>#,##0.0</c:formatCode>
                <c:ptCount val="8"/>
                <c:pt idx="0">
                  <c:v>13744.749</c:v>
                </c:pt>
                <c:pt idx="1">
                  <c:v>156.113</c:v>
                </c:pt>
                <c:pt idx="2">
                  <c:v>1320.8489999999999</c:v>
                </c:pt>
                <c:pt idx="3">
                  <c:v>3479.9989999999998</c:v>
                </c:pt>
                <c:pt idx="4">
                  <c:v>4227.7830000000004</c:v>
                </c:pt>
                <c:pt idx="5">
                  <c:v>16900.22</c:v>
                </c:pt>
                <c:pt idx="6">
                  <c:v>69570.216</c:v>
                </c:pt>
                <c:pt idx="7">
                  <c:v>279959.04100000003</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egendEntry>
        <c:idx val="1"/>
        <c:delete val="1"/>
      </c:legendEntry>
      <c:layout>
        <c:manualLayout>
          <c:xMode val="edge"/>
          <c:yMode val="edge"/>
          <c:x val="0.729050706400584"/>
          <c:y val="5.1605227547248639E-2"/>
          <c:w val="0.2494340220895207"/>
          <c:h val="0.94839483280908343"/>
        </c:manualLayout>
      </c:layout>
      <c:overlay val="0"/>
      <c:txPr>
        <a:bodyPr/>
        <a:lstStyle/>
        <a:p>
          <a:pPr>
            <a:defRPr sz="735" b="0" i="0" u="none" strike="noStrike" baseline="0">
              <a:solidFill>
                <a:srgbClr val="000000"/>
              </a:solidFill>
              <a:latin typeface="Calibri"/>
              <a:ea typeface="Calibri"/>
              <a:cs typeface="Calibri"/>
            </a:defRPr>
          </a:pPr>
          <a:endParaRPr lang="sk-SK"/>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sk-SK"/>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333333"/>
                </a:solidFill>
                <a:latin typeface="Arial"/>
                <a:ea typeface="Arial"/>
                <a:cs typeface="Arial"/>
              </a:defRPr>
            </a:pPr>
            <a:r>
              <a:rPr lang="sk-SK"/>
              <a:t>Podiel na vývoze podľa veľkosti podnikov v roku 2016 </a:t>
            </a:r>
          </a:p>
        </c:rich>
      </c:tx>
      <c:overlay val="0"/>
      <c:spPr>
        <a:noFill/>
        <a:ln w="25400">
          <a:noFill/>
        </a:ln>
      </c:spPr>
    </c:title>
    <c:autoTitleDeleted val="0"/>
    <c:view3D>
      <c:rotX val="30"/>
      <c:rotY val="0"/>
      <c:rAngAx val="0"/>
      <c:perspective val="0"/>
    </c:view3D>
    <c:floor>
      <c:thickness val="0"/>
    </c:floor>
    <c:sideWall>
      <c:thickness val="0"/>
    </c:sideWall>
    <c:backWall>
      <c:thickness val="0"/>
    </c:backWall>
    <c:plotArea>
      <c:layout/>
      <c:pie3DChart>
        <c:varyColors val="1"/>
        <c:ser>
          <c:idx val="0"/>
          <c:order val="0"/>
          <c:dPt>
            <c:idx val="0"/>
            <c:bubble3D val="0"/>
            <c:spPr>
              <a:solidFill>
                <a:schemeClr val="accent1"/>
              </a:solidFill>
              <a:ln w="19050">
                <a:solidFill>
                  <a:schemeClr val="lt1"/>
                </a:solidFill>
              </a:ln>
              <a:effectLst/>
              <a:sp3d contourW="25400">
                <a:contourClr>
                  <a:schemeClr val="lt1"/>
                </a:contourClr>
              </a:sp3d>
            </c:spPr>
          </c:dPt>
          <c:dPt>
            <c:idx val="1"/>
            <c:bubble3D val="0"/>
            <c:spPr>
              <a:solidFill>
                <a:schemeClr val="accent2"/>
              </a:solidFill>
              <a:ln w="19050">
                <a:solidFill>
                  <a:schemeClr val="lt1"/>
                </a:solidFill>
              </a:ln>
              <a:effectLst/>
              <a:sp3d contourW="25400">
                <a:contourClr>
                  <a:schemeClr val="lt1"/>
                </a:contourClr>
              </a:sp3d>
            </c:spPr>
          </c:dPt>
          <c:dPt>
            <c:idx val="2"/>
            <c:bubble3D val="0"/>
            <c:spPr>
              <a:solidFill>
                <a:schemeClr val="accent3"/>
              </a:solidFill>
              <a:ln w="19050">
                <a:solidFill>
                  <a:schemeClr val="lt1"/>
                </a:solidFill>
              </a:ln>
              <a:effectLst/>
              <a:sp3d contourW="25400">
                <a:contourClr>
                  <a:schemeClr val="lt1"/>
                </a:contourClr>
              </a:sp3d>
            </c:spPr>
          </c:dPt>
          <c:dPt>
            <c:idx val="3"/>
            <c:bubble3D val="0"/>
            <c:spPr>
              <a:solidFill>
                <a:schemeClr val="accent6">
                  <a:lumMod val="40000"/>
                  <a:lumOff val="60000"/>
                </a:schemeClr>
              </a:solidFill>
              <a:ln w="19050">
                <a:solidFill>
                  <a:schemeClr val="lt1"/>
                </a:solidFill>
              </a:ln>
              <a:effectLst/>
              <a:sp3d contourW="25400">
                <a:contourClr>
                  <a:schemeClr val="lt1"/>
                </a:contourClr>
              </a:sp3d>
            </c:spPr>
          </c:dPt>
          <c:dPt>
            <c:idx val="4"/>
            <c:bubble3D val="0"/>
            <c:spPr>
              <a:solidFill>
                <a:srgbClr val="FF0000"/>
              </a:solidFill>
              <a:ln w="19050">
                <a:solidFill>
                  <a:schemeClr val="lt1"/>
                </a:solidFill>
              </a:ln>
              <a:effectLst/>
              <a:sp3d contourW="25400">
                <a:contourClr>
                  <a:schemeClr val="lt1"/>
                </a:contourClr>
              </a:sp3d>
            </c:spPr>
          </c:dPt>
          <c:dLbls>
            <c:dLbl>
              <c:idx val="1"/>
              <c:layout>
                <c:manualLayout>
                  <c:x val="-7.4725780899009248E-2"/>
                  <c:y val="3.9544479862234382E-2"/>
                </c:manualLayout>
              </c:layout>
              <c:numFmt formatCode="0.0%" sourceLinked="0"/>
              <c:spPr>
                <a:noFill/>
                <a:ln w="25400">
                  <a:noFill/>
                </a:ln>
              </c:spPr>
              <c:txPr>
                <a:bodyPr/>
                <a:lstStyle/>
                <a:p>
                  <a:pPr>
                    <a:defRPr sz="1000" b="1" i="0" u="none" strike="noStrike" baseline="0">
                      <a:solidFill>
                        <a:srgbClr val="333333"/>
                      </a:solidFill>
                      <a:latin typeface="Arial"/>
                      <a:ea typeface="Arial"/>
                      <a:cs typeface="Arial"/>
                    </a:defRPr>
                  </a:pPr>
                  <a:endParaRPr lang="sk-SK"/>
                </a:p>
              </c:txPr>
              <c:dLblPos val="bestFit"/>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w="25400">
                <a:noFill/>
              </a:ln>
            </c:spPr>
            <c:txPr>
              <a:bodyPr wrap="square" lIns="38100" tIns="19050" rIns="38100" bIns="19050" anchor="ctr">
                <a:spAutoFit/>
              </a:bodyPr>
              <a:lstStyle/>
              <a:p>
                <a:pPr>
                  <a:defRPr sz="1000" b="1" i="0" u="none" strike="noStrike" baseline="0">
                    <a:solidFill>
                      <a:srgbClr val="333333"/>
                    </a:solidFill>
                    <a:latin typeface="Arial"/>
                    <a:ea typeface="Arial"/>
                    <a:cs typeface="Arial"/>
                  </a:defRPr>
                </a:pPr>
                <a:endParaRPr lang="sk-SK"/>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'17g-11'!$A$117:$A$121</c:f>
              <c:strCache>
                <c:ptCount val="5"/>
                <c:pt idx="0">
                  <c:v>mikropodniky (0-9 zam.)</c:v>
                </c:pt>
                <c:pt idx="1">
                  <c:v>malé podniky (10-49 zam.)</c:v>
                </c:pt>
                <c:pt idx="2">
                  <c:v>stredné podniky (50-249 zam.)</c:v>
                </c:pt>
                <c:pt idx="3">
                  <c:v>veľké podniky (250+ zam.)</c:v>
                </c:pt>
                <c:pt idx="4">
                  <c:v>zahraničné osoby</c:v>
                </c:pt>
              </c:strCache>
            </c:strRef>
          </c:cat>
          <c:val>
            <c:numRef>
              <c:f>'17g-11'!$J$117:$J$121</c:f>
              <c:numCache>
                <c:formatCode>0.0%</c:formatCode>
                <c:ptCount val="5"/>
                <c:pt idx="0">
                  <c:v>8.5638154469260444E-2</c:v>
                </c:pt>
                <c:pt idx="1">
                  <c:v>5.4294872070527814E-2</c:v>
                </c:pt>
                <c:pt idx="2">
                  <c:v>0.1166199413152305</c:v>
                </c:pt>
                <c:pt idx="3">
                  <c:v>0.62706395036395368</c:v>
                </c:pt>
                <c:pt idx="4">
                  <c:v>0.11638308178102746</c:v>
                </c:pt>
              </c:numCache>
            </c:numRef>
          </c:val>
        </c:ser>
        <c:ser>
          <c:idx val="1"/>
          <c:order val="1"/>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dPt>
          <c:dPt>
            <c:idx val="4"/>
            <c:bubble3D val="0"/>
          </c:dPt>
          <c:cat>
            <c:strRef>
              <c:f>'17g-11'!$A$117:$A$121</c:f>
              <c:strCache>
                <c:ptCount val="5"/>
                <c:pt idx="0">
                  <c:v>mikropodniky (0-9 zam.)</c:v>
                </c:pt>
                <c:pt idx="1">
                  <c:v>malé podniky (10-49 zam.)</c:v>
                </c:pt>
                <c:pt idx="2">
                  <c:v>stredné podniky (50-249 zam.)</c:v>
                </c:pt>
                <c:pt idx="3">
                  <c:v>veľké podniky (250+ zam.)</c:v>
                </c:pt>
                <c:pt idx="4">
                  <c:v>zahraničné osoby</c:v>
                </c:pt>
              </c:strCache>
            </c:strRef>
          </c:cat>
          <c:val>
            <c:numRef>
              <c:f>'17g-11'!$A$117:$A$119</c:f>
              <c:numCache>
                <c:formatCode>General</c:formatCode>
                <c:ptCount val="3"/>
                <c:pt idx="0">
                  <c:v>0</c:v>
                </c:pt>
                <c:pt idx="1">
                  <c:v>0</c:v>
                </c:pt>
                <c:pt idx="2">
                  <c:v>0</c:v>
                </c:pt>
              </c:numCache>
            </c:numRef>
          </c:val>
        </c:ser>
        <c:ser>
          <c:idx val="2"/>
          <c:order val="2"/>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dPt>
          <c:cat>
            <c:strRef>
              <c:f>'17g-11'!$A$117:$A$121</c:f>
              <c:strCache>
                <c:ptCount val="5"/>
                <c:pt idx="0">
                  <c:v>mikropodniky (0-9 zam.)</c:v>
                </c:pt>
                <c:pt idx="1">
                  <c:v>malé podniky (10-49 zam.)</c:v>
                </c:pt>
                <c:pt idx="2">
                  <c:v>stredné podniky (50-249 zam.)</c:v>
                </c:pt>
                <c:pt idx="3">
                  <c:v>veľké podniky (250+ zam.)</c:v>
                </c:pt>
                <c:pt idx="4">
                  <c:v>zahraničné osoby</c:v>
                </c:pt>
              </c:strCache>
            </c:strRef>
          </c:cat>
          <c:val>
            <c:numRef>
              <c:f>'17g-11'!$A$117:$A$120</c:f>
              <c:numCache>
                <c:formatCode>General</c:formatCode>
                <c:ptCount val="4"/>
                <c:pt idx="0">
                  <c:v>0</c:v>
                </c:pt>
                <c:pt idx="1">
                  <c:v>0</c:v>
                </c:pt>
                <c:pt idx="2">
                  <c:v>0</c:v>
                </c:pt>
                <c:pt idx="3">
                  <c:v>0</c:v>
                </c:pt>
              </c:numCache>
            </c:numRef>
          </c:val>
        </c:ser>
        <c:ser>
          <c:idx val="3"/>
          <c:order val="3"/>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dPt>
          <c:cat>
            <c:strRef>
              <c:f>'17g-11'!$A$117:$A$121</c:f>
              <c:strCache>
                <c:ptCount val="5"/>
                <c:pt idx="0">
                  <c:v>mikropodniky (0-9 zam.)</c:v>
                </c:pt>
                <c:pt idx="1">
                  <c:v>malé podniky (10-49 zam.)</c:v>
                </c:pt>
                <c:pt idx="2">
                  <c:v>stredné podniky (50-249 zam.)</c:v>
                </c:pt>
                <c:pt idx="3">
                  <c:v>veľké podniky (250+ zam.)</c:v>
                </c:pt>
                <c:pt idx="4">
                  <c:v>zahraničné osoby</c:v>
                </c:pt>
              </c:strCache>
            </c:strRef>
          </c:cat>
          <c:val>
            <c:numRef>
              <c:f>'17g-11'!$D$117:$D$120</c:f>
              <c:numCache>
                <c:formatCode>0.0%</c:formatCode>
                <c:ptCount val="4"/>
                <c:pt idx="0">
                  <c:v>0.10512492996143107</c:v>
                </c:pt>
                <c:pt idx="1">
                  <c:v>5.9740555866399501E-2</c:v>
                </c:pt>
                <c:pt idx="2">
                  <c:v>0.12832576637939502</c:v>
                </c:pt>
                <c:pt idx="3">
                  <c:v>0.70680874779277436</c:v>
                </c:pt>
              </c:numCache>
            </c:numRef>
          </c:val>
        </c:ser>
        <c:dLbls>
          <c:showLegendKey val="0"/>
          <c:showVal val="0"/>
          <c:showCatName val="0"/>
          <c:showSerName val="0"/>
          <c:showPercent val="0"/>
          <c:showBubbleSize val="0"/>
          <c:showLeaderLines val="1"/>
        </c:dLbls>
      </c:pie3DChart>
      <c:spPr>
        <a:noFill/>
        <a:ln w="25400">
          <a:noFill/>
        </a:ln>
      </c:spPr>
    </c:plotArea>
    <c:legend>
      <c:legendPos val="b"/>
      <c:layout>
        <c:manualLayout>
          <c:xMode val="edge"/>
          <c:yMode val="edge"/>
          <c:x val="8.4498356624340878E-3"/>
          <c:y val="0.83895868994636547"/>
          <c:w val="0.98069773710718589"/>
          <c:h val="0.14652887139107607"/>
        </c:manualLayout>
      </c:layout>
      <c:overlay val="0"/>
      <c:spPr>
        <a:noFill/>
        <a:ln>
          <a:solidFill>
            <a:schemeClr val="bg2">
              <a:lumMod val="90000"/>
            </a:schemeClr>
          </a:solidFill>
        </a:ln>
        <a:effectLst/>
      </c:spPr>
      <c:txPr>
        <a:bodyPr/>
        <a:lstStyle/>
        <a:p>
          <a:pPr>
            <a:defRPr sz="1000" b="0" i="0" u="none" strike="noStrike" baseline="0">
              <a:solidFill>
                <a:srgbClr val="333333"/>
              </a:solidFill>
              <a:latin typeface="Arial" panose="020B0604020202020204" pitchFamily="34" charset="0"/>
              <a:ea typeface="Calibri"/>
              <a:cs typeface="Arial" panose="020B0604020202020204" pitchFamily="34" charset="0"/>
            </a:defRPr>
          </a:pPr>
          <a:endParaRPr lang="sk-SK"/>
        </a:p>
      </c:txPr>
    </c:legend>
    <c:plotVisOnly val="1"/>
    <c:dispBlanksAs val="gap"/>
    <c:showDLblsOverMax val="0"/>
  </c:chart>
  <c:spPr>
    <a:solidFill>
      <a:schemeClr val="bg1"/>
    </a:solidFill>
    <a:ln w="9525" cap="flat" cmpd="sng" algn="ctr">
      <a:solidFill>
        <a:schemeClr val="bg2">
          <a:lumMod val="75000"/>
        </a:schemeClr>
      </a:solidFill>
      <a:round/>
    </a:ln>
    <a:effectLst/>
  </c:spPr>
  <c:txPr>
    <a:bodyPr/>
    <a:lstStyle/>
    <a:p>
      <a:pPr>
        <a:defRPr sz="1000" b="0" i="0" u="none" strike="noStrike" baseline="0">
          <a:solidFill>
            <a:srgbClr val="000000"/>
          </a:solidFill>
          <a:latin typeface="Calibri"/>
          <a:ea typeface="Calibri"/>
          <a:cs typeface="Calibri"/>
        </a:defRPr>
      </a:pPr>
      <a:endParaRPr lang="sk-SK"/>
    </a:p>
  </c:txPr>
  <c:externalData r:id="rId1">
    <c:autoUpdate val="0"/>
  </c:externalData>
</c:chartSpace>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543F4-C98B-4FB4-866A-1F63DEE34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6355</Words>
  <Characters>36228</Characters>
  <Application>Microsoft Office Word</Application>
  <DocSecurity>0</DocSecurity>
  <Lines>301</Lines>
  <Paragraphs>84</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Lisičan Ľubomír</dc:creator>
  <cp:lastModifiedBy>Malik Mirko</cp:lastModifiedBy>
  <cp:revision>2</cp:revision>
  <dcterms:created xsi:type="dcterms:W3CDTF">2018-03-22T08:20:00Z</dcterms:created>
  <dcterms:modified xsi:type="dcterms:W3CDTF">2018-03-22T08:20:00Z</dcterms:modified>
</cp:coreProperties>
</file>