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drawings/drawing1.xml" ContentType="application/vnd.openxmlformats-officedocument.drawingml.chartshapes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drawings/drawing2.xml" ContentType="application/vnd.openxmlformats-officedocument.drawingml.chartshapes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68EC4" w14:textId="77777777" w:rsidR="000163E5" w:rsidRPr="003B0B41" w:rsidRDefault="000163E5" w:rsidP="00E57074">
      <w:pPr>
        <w:rPr>
          <w:sz w:val="48"/>
          <w:szCs w:val="48"/>
        </w:rPr>
      </w:pPr>
    </w:p>
    <w:p w14:paraId="35DC75E0" w14:textId="344A11FD" w:rsidR="003641AF" w:rsidRPr="00C574AF" w:rsidRDefault="002F3FAD" w:rsidP="00C574AF">
      <w:pPr>
        <w:rPr>
          <w:b/>
          <w:sz w:val="28"/>
          <w:szCs w:val="28"/>
        </w:rPr>
      </w:pPr>
      <w:r>
        <w:rPr>
          <w:rFonts w:cs="Times New Roman"/>
          <w:noProof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786B1" wp14:editId="3097200D">
                <wp:simplePos x="0" y="0"/>
                <wp:positionH relativeFrom="column">
                  <wp:posOffset>46410</wp:posOffset>
                </wp:positionH>
                <wp:positionV relativeFrom="margin">
                  <wp:posOffset>2594058</wp:posOffset>
                </wp:positionV>
                <wp:extent cx="5303520" cy="2529205"/>
                <wp:effectExtent l="0" t="0" r="0" b="4445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0" cy="2529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64423A" w14:textId="77777777" w:rsidR="00270E7B" w:rsidRDefault="00270E7B" w:rsidP="003C2BA8">
                            <w:pPr>
                              <w:jc w:val="left"/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>Ako dotujeme</w:t>
                            </w:r>
                          </w:p>
                          <w:p w14:paraId="7D93DF67" w14:textId="794C624E" w:rsidR="00270E7B" w:rsidRPr="00904725" w:rsidRDefault="00270E7B" w:rsidP="003C2BA8">
                            <w:pPr>
                              <w:jc w:val="left"/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>fosílne palivá?</w:t>
                            </w:r>
                          </w:p>
                          <w:p w14:paraId="1BC02702" w14:textId="77777777" w:rsidR="00270E7B" w:rsidRDefault="00270E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786B1"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left:0;text-align:left;margin-left:3.65pt;margin-top:204.25pt;width:417.6pt;height:19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" filled="f" stroked="f" strokeweight=".5pt">
                <v:textbox>
                  <w:txbxContent>
                    <w:p w14:paraId="0264423A" w14:textId="77777777" w:rsidR="00270E7B" w:rsidRDefault="00270E7B" w:rsidP="003C2BA8">
                      <w:pPr>
                        <w:jc w:val="left"/>
                        <w:rPr>
                          <w:rFonts w:ascii="Century Gothic" w:hAnsi="Century Gothic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</w:rPr>
                        <w:t>Ako dotujeme</w:t>
                      </w:r>
                    </w:p>
                    <w:p w14:paraId="7D93DF67" w14:textId="794C624E" w:rsidR="00270E7B" w:rsidRPr="00904725" w:rsidRDefault="00270E7B" w:rsidP="003C2BA8">
                      <w:pPr>
                        <w:jc w:val="left"/>
                        <w:rPr>
                          <w:rFonts w:ascii="Century Gothic" w:hAnsi="Century Gothic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sz w:val="72"/>
                          <w:szCs w:val="72"/>
                        </w:rPr>
                        <w:t>fosílne palivá?</w:t>
                      </w:r>
                    </w:p>
                    <w:p w14:paraId="1BC02702" w14:textId="77777777" w:rsidR="00270E7B" w:rsidRDefault="00270E7B"/>
                  </w:txbxContent>
                </v:textbox>
                <w10:wrap anchory="margin"/>
              </v:shape>
            </w:pict>
          </mc:Fallback>
        </mc:AlternateContent>
      </w:r>
      <w:r w:rsidR="001E73BB">
        <w:rPr>
          <w:rFonts w:cs="Times New Roman"/>
          <w:noProof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B54DD8" wp14:editId="36781702">
                <wp:simplePos x="0" y="0"/>
                <wp:positionH relativeFrom="column">
                  <wp:posOffset>52705</wp:posOffset>
                </wp:positionH>
                <wp:positionV relativeFrom="margin">
                  <wp:posOffset>5154295</wp:posOffset>
                </wp:positionV>
                <wp:extent cx="1424940" cy="40005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D5C4EC" w14:textId="77777777" w:rsidR="00270E7B" w:rsidRPr="009329DD" w:rsidRDefault="00270E7B" w:rsidP="009329DD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54DD8" id="Textové pole 4" o:spid="_x0000_s1027" type="#_x0000_t202" style="position:absolute;left:0;text-align:left;margin-left:4.15pt;margin-top:405.85pt;width:112.2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" filled="f" stroked="f" strokeweight=".5pt">
                <v:textbox>
                  <w:txbxContent>
                    <w:p w14:paraId="50D5C4EC" w14:textId="77777777" w:rsidR="00270E7B" w:rsidRPr="009329DD" w:rsidRDefault="00270E7B" w:rsidP="009329DD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2022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133415">
        <w:rPr>
          <w:rFonts w:cs="Times New Roman"/>
          <w:noProof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782C4" wp14:editId="79006746">
                <wp:simplePos x="0" y="0"/>
                <wp:positionH relativeFrom="column">
                  <wp:posOffset>-9146</wp:posOffset>
                </wp:positionH>
                <wp:positionV relativeFrom="paragraph">
                  <wp:posOffset>1915854</wp:posOffset>
                </wp:positionV>
                <wp:extent cx="0" cy="3371990"/>
                <wp:effectExtent l="0" t="0" r="19050" b="19050"/>
                <wp:wrapNone/>
                <wp:docPr id="46" name="Rovná spojnic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199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47132" id="Rovná spojnica 4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pt,150.85pt" to="-.7pt,4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" strokecolor="#0070c0" strokeweight=".5pt">
                <v:stroke joinstyle="miter"/>
              </v:line>
            </w:pict>
          </mc:Fallback>
        </mc:AlternateContent>
      </w:r>
      <w:r w:rsidR="00D95F48">
        <w:rPr>
          <w:b/>
          <w:sz w:val="28"/>
          <w:szCs w:val="28"/>
        </w:rPr>
        <w:br w:type="page"/>
      </w:r>
    </w:p>
    <w:p w14:paraId="590F1DD4" w14:textId="38BAEC1D" w:rsidR="003641AF" w:rsidRDefault="003641AF" w:rsidP="001313AF">
      <w:pPr>
        <w:pStyle w:val="Nadpis1"/>
      </w:pPr>
      <w:bookmarkStart w:id="0" w:name="_Toc121990620"/>
      <w:bookmarkStart w:id="1" w:name="_Toc121993843"/>
      <w:r>
        <w:lastRenderedPageBreak/>
        <w:t>Zhrnutie</w:t>
      </w:r>
      <w:bookmarkEnd w:id="0"/>
      <w:bookmarkEnd w:id="1"/>
    </w:p>
    <w:p w14:paraId="1A46AC5B" w14:textId="157EFE65" w:rsidR="00963A79" w:rsidRDefault="00ED2AA4" w:rsidP="00963A79">
      <w:pPr>
        <w:spacing w:after="0"/>
        <w:rPr>
          <w:rFonts w:ascii="Segoe UI Semilight" w:hAnsi="Segoe UI Semilight" w:cs="Segoe UI Semilight"/>
        </w:rPr>
      </w:pPr>
      <w:r w:rsidRPr="00963A79">
        <w:rPr>
          <w:rFonts w:ascii="Segoe UI Semilight" w:hAnsi="Segoe UI Semilight" w:cs="Segoe UI Semilight"/>
        </w:rPr>
        <w:t>Materiál je vypracovaný na základe požiadavky ŠÚ SR na zostaven</w:t>
      </w:r>
      <w:r w:rsidR="005B5EE9" w:rsidRPr="00963A79">
        <w:rPr>
          <w:rFonts w:ascii="Segoe UI Semilight" w:hAnsi="Segoe UI Semilight" w:cs="Segoe UI Semilight"/>
        </w:rPr>
        <w:t>ie indikátora</w:t>
      </w:r>
      <w:r w:rsidR="00702493">
        <w:rPr>
          <w:rFonts w:ascii="Segoe UI Semilight" w:hAnsi="Segoe UI Semilight" w:cs="Segoe UI Semilight"/>
        </w:rPr>
        <w:t xml:space="preserve"> výšky dotácií na fosílne palivá na jednotku HDP</w:t>
      </w:r>
      <w:r w:rsidR="005B5EE9" w:rsidRPr="00963A79">
        <w:rPr>
          <w:rFonts w:ascii="Segoe UI Semilight" w:hAnsi="Segoe UI Semilight" w:cs="Segoe UI Semilight"/>
        </w:rPr>
        <w:t xml:space="preserve"> pre II</w:t>
      </w:r>
      <w:r w:rsidRPr="00963A79">
        <w:rPr>
          <w:rFonts w:ascii="Segoe UI Semilight" w:hAnsi="Segoe UI Semilight" w:cs="Segoe UI Semilight"/>
        </w:rPr>
        <w:t xml:space="preserve">. Správu o dosiahnutých </w:t>
      </w:r>
      <w:r w:rsidR="007003F0">
        <w:rPr>
          <w:rFonts w:ascii="Segoe UI Semilight" w:hAnsi="Segoe UI Semilight" w:cs="Segoe UI Semilight"/>
        </w:rPr>
        <w:t>výsledkoch</w:t>
      </w:r>
      <w:r w:rsidRPr="00963A79">
        <w:rPr>
          <w:rFonts w:ascii="Segoe UI Semilight" w:hAnsi="Segoe UI Semilight" w:cs="Segoe UI Semilight"/>
        </w:rPr>
        <w:t> </w:t>
      </w:r>
      <w:r w:rsidR="00582758">
        <w:rPr>
          <w:rFonts w:ascii="Segoe UI Semilight" w:hAnsi="Segoe UI Semilight" w:cs="Segoe UI Semilight"/>
        </w:rPr>
        <w:t>N</w:t>
      </w:r>
      <w:r w:rsidR="00EB27B1">
        <w:rPr>
          <w:rFonts w:ascii="Segoe UI Semilight" w:hAnsi="Segoe UI Semilight" w:cs="Segoe UI Semilight"/>
        </w:rPr>
        <w:t>árodných priorít</w:t>
      </w:r>
      <w:r w:rsidR="00D21AFC">
        <w:rPr>
          <w:rFonts w:ascii="Segoe UI Semilight" w:hAnsi="Segoe UI Semilight" w:cs="Segoe UI Semilight"/>
        </w:rPr>
        <w:t xml:space="preserve"> </w:t>
      </w:r>
      <w:r w:rsidRPr="00963A79">
        <w:rPr>
          <w:rFonts w:ascii="Segoe UI Semilight" w:hAnsi="Segoe UI Semilight" w:cs="Segoe UI Semilight"/>
        </w:rPr>
        <w:t>implementácie Agendy 2030</w:t>
      </w:r>
      <w:r w:rsidR="00B13AE2" w:rsidRPr="00963A79">
        <w:rPr>
          <w:rFonts w:ascii="Segoe UI Semilight" w:hAnsi="Segoe UI Semilight" w:cs="Segoe UI Semilight"/>
        </w:rPr>
        <w:t xml:space="preserve"> podľa metodiky OSN.</w:t>
      </w:r>
    </w:p>
    <w:p w14:paraId="51431B17" w14:textId="1B54EA76" w:rsidR="002868C8" w:rsidRDefault="00341ED7">
      <w:pPr>
        <w:spacing w:after="0"/>
        <w:rPr>
          <w:rFonts w:ascii="Segoe UI Semilight" w:hAnsi="Segoe UI Semilight" w:cs="Segoe UI Semilight"/>
        </w:rPr>
      </w:pPr>
      <w:r w:rsidRPr="0077719A">
        <w:rPr>
          <w:rFonts w:ascii="Segoe UI Semilight" w:hAnsi="Segoe UI Semilight" w:cs="Segoe UI Semilight"/>
          <w:b/>
        </w:rPr>
        <w:t>V procese prípravy materiálu bolo v rokoch 2011</w:t>
      </w:r>
      <w:r w:rsidR="00C2142A">
        <w:rPr>
          <w:rFonts w:ascii="Segoe UI Semilight" w:hAnsi="Segoe UI Semilight" w:cs="Segoe UI Semilight"/>
          <w:b/>
        </w:rPr>
        <w:t xml:space="preserve"> – </w:t>
      </w:r>
      <w:r w:rsidRPr="0077719A">
        <w:rPr>
          <w:rFonts w:ascii="Segoe UI Semilight" w:hAnsi="Segoe UI Semilight" w:cs="Segoe UI Semilight"/>
          <w:b/>
        </w:rPr>
        <w:t xml:space="preserve">2022 identifikovaných </w:t>
      </w:r>
      <w:r w:rsidR="00852E79">
        <w:rPr>
          <w:rFonts w:ascii="Segoe UI Semilight" w:hAnsi="Segoe UI Semilight" w:cs="Segoe UI Semilight"/>
          <w:b/>
        </w:rPr>
        <w:t>30</w:t>
      </w:r>
      <w:r w:rsidR="00852E79" w:rsidRPr="0077719A">
        <w:rPr>
          <w:rFonts w:ascii="Segoe UI Semilight" w:hAnsi="Segoe UI Semilight" w:cs="Segoe UI Semilight"/>
          <w:b/>
        </w:rPr>
        <w:t xml:space="preserve"> </w:t>
      </w:r>
      <w:r w:rsidRPr="0077719A">
        <w:rPr>
          <w:rFonts w:ascii="Segoe UI Semilight" w:hAnsi="Segoe UI Semilight" w:cs="Segoe UI Semilight"/>
          <w:b/>
        </w:rPr>
        <w:t xml:space="preserve">opatrení, ktoré spĺňajú definíciu dotácie na fosílne palivá v zmysle metodiky OSN. Výška týchto dotácií  </w:t>
      </w:r>
      <w:r w:rsidRPr="00341ED7">
        <w:rPr>
          <w:rFonts w:ascii="Segoe UI Semilight" w:hAnsi="Segoe UI Semilight" w:cs="Segoe UI Semilight"/>
          <w:b/>
        </w:rPr>
        <w:t xml:space="preserve">dosiahla </w:t>
      </w:r>
      <w:r w:rsidR="00B322AB">
        <w:rPr>
          <w:rFonts w:ascii="Segoe UI Semilight" w:hAnsi="Segoe UI Semilight" w:cs="Segoe UI Semilight"/>
          <w:b/>
        </w:rPr>
        <w:t>medzi rokmi 20</w:t>
      </w:r>
      <w:r w:rsidR="00CF247D">
        <w:rPr>
          <w:rFonts w:ascii="Segoe UI Semilight" w:hAnsi="Segoe UI Semilight" w:cs="Segoe UI Semilight"/>
          <w:b/>
        </w:rPr>
        <w:t xml:space="preserve">11 – 2021 </w:t>
      </w:r>
      <w:r w:rsidR="00EB27B1">
        <w:rPr>
          <w:rFonts w:ascii="Segoe UI Semilight" w:hAnsi="Segoe UI Semilight" w:cs="Segoe UI Semilight"/>
          <w:b/>
        </w:rPr>
        <w:t xml:space="preserve">priemernú </w:t>
      </w:r>
      <w:r w:rsidR="00FC047F">
        <w:rPr>
          <w:rFonts w:ascii="Segoe UI Semilight" w:hAnsi="Segoe UI Semilight" w:cs="Segoe UI Semilight"/>
          <w:b/>
        </w:rPr>
        <w:t xml:space="preserve">hodnotu </w:t>
      </w:r>
      <w:r w:rsidR="00624F41">
        <w:rPr>
          <w:rFonts w:ascii="Segoe UI Semilight" w:hAnsi="Segoe UI Semilight" w:cs="Segoe UI Semilight"/>
          <w:b/>
        </w:rPr>
        <w:t>výške 307,82</w:t>
      </w:r>
      <w:r w:rsidR="00B322AB">
        <w:rPr>
          <w:rFonts w:ascii="Segoe UI Semilight" w:hAnsi="Segoe UI Semilight" w:cs="Segoe UI Semilight"/>
          <w:b/>
        </w:rPr>
        <w:t xml:space="preserve"> mil. eur ročne</w:t>
      </w:r>
      <w:r w:rsidR="00B322AB">
        <w:rPr>
          <w:rFonts w:ascii="Segoe UI Semilight" w:hAnsi="Segoe UI Semilight" w:cs="Segoe UI Semilight"/>
        </w:rPr>
        <w:t xml:space="preserve">, z toho 95 % </w:t>
      </w:r>
      <w:r w:rsidR="00EB27B1">
        <w:rPr>
          <w:rFonts w:ascii="Segoe UI Semilight" w:hAnsi="Segoe UI Semilight" w:cs="Segoe UI Semilight"/>
        </w:rPr>
        <w:t xml:space="preserve">predstavovala </w:t>
      </w:r>
      <w:r w:rsidR="00B322AB">
        <w:rPr>
          <w:rFonts w:ascii="Segoe UI Semilight" w:hAnsi="Segoe UI Semilight" w:cs="Segoe UI Semilight"/>
        </w:rPr>
        <w:t>priama podpora a daňové úľavy a 5 % nepriama podpora.</w:t>
      </w:r>
      <w:r w:rsidR="004765C9">
        <w:rPr>
          <w:rStyle w:val="Odkaznapoznmkupodiarou"/>
          <w:rFonts w:ascii="Segoe UI Semilight" w:hAnsi="Segoe UI Semilight" w:cs="Segoe UI Semilight"/>
        </w:rPr>
        <w:footnoteReference w:id="1"/>
      </w:r>
      <w:r w:rsidR="00B322AB">
        <w:rPr>
          <w:rFonts w:ascii="Segoe UI Semilight" w:hAnsi="Segoe UI Semilight" w:cs="Segoe UI Semilight"/>
        </w:rPr>
        <w:t xml:space="preserve"> Podiel dotácií na fosílne palivá na jednotku HDP </w:t>
      </w:r>
      <w:r w:rsidR="00AF573C">
        <w:rPr>
          <w:rFonts w:ascii="Segoe UI Semilight" w:hAnsi="Segoe UI Semilight" w:cs="Segoe UI Semilight"/>
        </w:rPr>
        <w:t>dosiahol v danom</w:t>
      </w:r>
      <w:r w:rsidR="002868C8">
        <w:rPr>
          <w:rFonts w:ascii="Segoe UI Semilight" w:hAnsi="Segoe UI Semilight" w:cs="Segoe UI Semilight"/>
        </w:rPr>
        <w:t xml:space="preserve"> období</w:t>
      </w:r>
      <w:r w:rsidR="0015612C">
        <w:rPr>
          <w:rFonts w:ascii="Segoe UI Semilight" w:hAnsi="Segoe UI Semilight" w:cs="Segoe UI Semilight"/>
        </w:rPr>
        <w:t xml:space="preserve"> </w:t>
      </w:r>
      <w:r w:rsidR="002868C8">
        <w:rPr>
          <w:rFonts w:ascii="Segoe UI Semilight" w:hAnsi="Segoe UI Semilight" w:cs="Segoe UI Semilight"/>
        </w:rPr>
        <w:t xml:space="preserve">v priemere </w:t>
      </w:r>
      <w:r w:rsidR="00FC047F">
        <w:rPr>
          <w:rFonts w:ascii="Segoe UI Semilight" w:hAnsi="Segoe UI Semilight" w:cs="Segoe UI Semilight"/>
        </w:rPr>
        <w:t>0,36</w:t>
      </w:r>
      <w:r w:rsidR="00B322AB">
        <w:rPr>
          <w:rFonts w:ascii="Segoe UI Semilight" w:hAnsi="Segoe UI Semilight" w:cs="Segoe UI Semilight"/>
        </w:rPr>
        <w:t xml:space="preserve"> % ročne</w:t>
      </w:r>
      <w:r w:rsidR="0077719A">
        <w:rPr>
          <w:rFonts w:ascii="Segoe UI Semilight" w:hAnsi="Segoe UI Semilight" w:cs="Segoe UI Semilight"/>
        </w:rPr>
        <w:t>.</w:t>
      </w:r>
      <w:r w:rsidR="00190616">
        <w:rPr>
          <w:rFonts w:ascii="Segoe UI Semilight" w:hAnsi="Segoe UI Semilight" w:cs="Segoe UI Semilight"/>
        </w:rPr>
        <w:t xml:space="preserve"> </w:t>
      </w:r>
      <w:r>
        <w:rPr>
          <w:rFonts w:ascii="Segoe UI Semilight" w:hAnsi="Segoe UI Semilight" w:cs="Segoe UI Semilight"/>
        </w:rPr>
        <w:t xml:space="preserve">Materiál ďalej klasifikuje </w:t>
      </w:r>
      <w:r w:rsidR="00EB6A78">
        <w:rPr>
          <w:rFonts w:ascii="Segoe UI Semilight" w:hAnsi="Segoe UI Semilight" w:cs="Segoe UI Semilight"/>
        </w:rPr>
        <w:t xml:space="preserve">tieto </w:t>
      </w:r>
      <w:r w:rsidR="00350CFB">
        <w:rPr>
          <w:rFonts w:ascii="Segoe UI Semilight" w:hAnsi="Segoe UI Semilight" w:cs="Segoe UI Semilight"/>
        </w:rPr>
        <w:t xml:space="preserve">dotácie z viacerých uhlov podhľadu – podľa druhu fosílneho paliva, sektora užívateľa výhod, </w:t>
      </w:r>
      <w:r w:rsidR="00190616">
        <w:rPr>
          <w:rFonts w:ascii="Segoe UI Semilight" w:hAnsi="Segoe UI Semilight" w:cs="Segoe UI Semilight"/>
        </w:rPr>
        <w:t>či fázy podpory.</w:t>
      </w:r>
    </w:p>
    <w:p w14:paraId="67E68DC1" w14:textId="6701A97B" w:rsidR="00190616" w:rsidRDefault="00190616">
      <w:pPr>
        <w:spacing w:after="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Nad rámec identifikácie a vyčíslenia opatrení, ktoré je možné považovať za dotácie na fosílne palivá, sa materiál venuje a</w:t>
      </w:r>
      <w:r w:rsidR="00FC047F">
        <w:rPr>
          <w:rFonts w:ascii="Segoe UI Semilight" w:hAnsi="Segoe UI Semilight" w:cs="Segoe UI Semilight"/>
        </w:rPr>
        <w:t>j</w:t>
      </w:r>
      <w:r>
        <w:rPr>
          <w:rFonts w:ascii="Segoe UI Semilight" w:hAnsi="Segoe UI Semilight" w:cs="Segoe UI Semilight"/>
        </w:rPr>
        <w:t> indikatívnemu porovnaniu Slovenska s ostatnými krajinami v EÚ a</w:t>
      </w:r>
      <w:r w:rsidR="00EB6A78">
        <w:rPr>
          <w:rFonts w:ascii="Segoe UI Semilight" w:hAnsi="Segoe UI Semilight" w:cs="Segoe UI Semilight"/>
        </w:rPr>
        <w:t xml:space="preserve"> v neposlednom rade </w:t>
      </w:r>
      <w:r>
        <w:rPr>
          <w:rFonts w:ascii="Segoe UI Semilight" w:hAnsi="Segoe UI Semilight" w:cs="Segoe UI Semilight"/>
        </w:rPr>
        <w:t>aj hodnoteniu významu jednotlivých opatrení z</w:t>
      </w:r>
      <w:r w:rsidR="00A36DE9">
        <w:rPr>
          <w:rFonts w:ascii="Segoe UI Semilight" w:hAnsi="Segoe UI Semilight" w:cs="Segoe UI Semilight"/>
        </w:rPr>
        <w:t xml:space="preserve"> pohľadu</w:t>
      </w:r>
      <w:r>
        <w:rPr>
          <w:rFonts w:ascii="Segoe UI Semilight" w:hAnsi="Segoe UI Semilight" w:cs="Segoe UI Semilight"/>
        </w:rPr>
        <w:t xml:space="preserve"> </w:t>
      </w:r>
      <w:r w:rsidR="00A36DE9">
        <w:rPr>
          <w:rFonts w:ascii="Segoe UI Semilight" w:hAnsi="Segoe UI Semilight" w:cs="Segoe UI Semilight"/>
        </w:rPr>
        <w:t>hospodárskych, environmentálnych a sociálnych politík.</w:t>
      </w:r>
    </w:p>
    <w:p w14:paraId="2B762DCB" w14:textId="022107A3" w:rsidR="00BB19E5" w:rsidRDefault="00BB19E5" w:rsidP="00B65474">
      <w:pPr>
        <w:spacing w:after="0"/>
        <w:jc w:val="left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4B181B53" w14:textId="1A1E00F0" w:rsidR="00C574AF" w:rsidRDefault="00C574AF" w:rsidP="00B65474">
      <w:pPr>
        <w:spacing w:after="0"/>
        <w:jc w:val="left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3F274B0F" w14:textId="1E7DAFC9" w:rsidR="00C574AF" w:rsidRDefault="00C574AF" w:rsidP="00B65474">
      <w:pPr>
        <w:spacing w:after="0"/>
        <w:jc w:val="left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56CD71A2" w14:textId="1F7F9E90" w:rsidR="0077719A" w:rsidRDefault="0077719A" w:rsidP="00B65474">
      <w:pPr>
        <w:spacing w:after="0"/>
        <w:jc w:val="left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7DF2AEFC" w14:textId="77777777" w:rsidR="0077719A" w:rsidRDefault="0077719A" w:rsidP="00B65474">
      <w:pPr>
        <w:spacing w:after="0"/>
        <w:jc w:val="left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2CF8826" w14:textId="6B2CA80E" w:rsidR="00BB19E5" w:rsidRDefault="00BB19E5" w:rsidP="00B65474">
      <w:pPr>
        <w:spacing w:after="0"/>
        <w:jc w:val="left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41BC9B90" w14:textId="77777777" w:rsidR="00C574AF" w:rsidRDefault="00C574AF" w:rsidP="00C574AF">
      <w:pPr>
        <w:spacing w:after="0" w:line="276" w:lineRule="auto"/>
        <w:rPr>
          <w:rFonts w:ascii="Segoe UI Semilight" w:hAnsi="Segoe UI Semilight" w:cs="Segoe UI Semilight"/>
          <w:b/>
        </w:rPr>
      </w:pPr>
      <w:r w:rsidRPr="00E875F2">
        <w:rPr>
          <w:rFonts w:ascii="Segoe UI Semilight" w:hAnsi="Segoe UI Semilight" w:cs="Segoe UI Semilight"/>
          <w:b/>
        </w:rPr>
        <w:t xml:space="preserve">Autori: </w:t>
      </w:r>
    </w:p>
    <w:p w14:paraId="36907466" w14:textId="7C183525" w:rsidR="00BB19E5" w:rsidRPr="00C574AF" w:rsidRDefault="00C574AF" w:rsidP="00C574AF">
      <w:pPr>
        <w:spacing w:after="0" w:line="276" w:lineRule="auto"/>
        <w:rPr>
          <w:rFonts w:ascii="Segoe UI Semilight" w:hAnsi="Segoe UI Semilight" w:cs="Segoe UI Semilight"/>
        </w:rPr>
      </w:pPr>
      <w:r w:rsidRPr="00B65474">
        <w:rPr>
          <w:rFonts w:ascii="Segoe UI Semilight" w:hAnsi="Segoe UI Semilight" w:cs="Segoe UI Semilight"/>
        </w:rPr>
        <w:t xml:space="preserve">Miroslava </w:t>
      </w:r>
      <w:proofErr w:type="spellStart"/>
      <w:r w:rsidRPr="00B65474">
        <w:rPr>
          <w:rFonts w:ascii="Segoe UI Semilight" w:hAnsi="Segoe UI Semilight" w:cs="Segoe UI Semilight"/>
        </w:rPr>
        <w:t>Hricišínová</w:t>
      </w:r>
      <w:proofErr w:type="spellEnd"/>
      <w:r w:rsidRPr="00B65474">
        <w:rPr>
          <w:rFonts w:ascii="Segoe UI Semilight" w:hAnsi="Segoe UI Semilight" w:cs="Segoe UI Semilight"/>
        </w:rPr>
        <w:t>, Kamil Boros</w:t>
      </w:r>
    </w:p>
    <w:p w14:paraId="389FAF89" w14:textId="77777777" w:rsidR="00B65474" w:rsidRPr="00E875F2" w:rsidRDefault="00B65474" w:rsidP="00B65474">
      <w:pPr>
        <w:spacing w:after="0" w:line="276" w:lineRule="auto"/>
        <w:rPr>
          <w:rFonts w:ascii="Segoe UI Semilight" w:hAnsi="Segoe UI Semilight" w:cs="Segoe UI Semilight"/>
          <w:b/>
        </w:rPr>
      </w:pPr>
      <w:r w:rsidRPr="00E875F2">
        <w:rPr>
          <w:rFonts w:ascii="Segoe UI Semilight" w:hAnsi="Segoe UI Semilight" w:cs="Segoe UI Semilight"/>
          <w:b/>
        </w:rPr>
        <w:t xml:space="preserve">Poďakovanie: </w:t>
      </w:r>
    </w:p>
    <w:p w14:paraId="51155DF7" w14:textId="7063D676" w:rsidR="003647DE" w:rsidRDefault="00B65474" w:rsidP="00B65474">
      <w:pPr>
        <w:spacing w:after="0"/>
        <w:rPr>
          <w:rFonts w:ascii="Segoe UI Semilight" w:hAnsi="Segoe UI Semilight" w:cs="Segoe UI Semilight"/>
        </w:rPr>
      </w:pPr>
      <w:r w:rsidRPr="00E875F2">
        <w:rPr>
          <w:rFonts w:ascii="Segoe UI Semilight" w:hAnsi="Segoe UI Semilight" w:cs="Segoe UI Semilight"/>
        </w:rPr>
        <w:t>Za pomoc, pripomienky a rady autori ďakujú</w:t>
      </w:r>
      <w:r>
        <w:rPr>
          <w:rFonts w:ascii="Segoe UI Semilight" w:hAnsi="Segoe UI Semilight" w:cs="Segoe UI Semilight"/>
        </w:rPr>
        <w:t xml:space="preserve"> Martinovi </w:t>
      </w:r>
      <w:proofErr w:type="spellStart"/>
      <w:r>
        <w:rPr>
          <w:rFonts w:ascii="Segoe UI Semilight" w:hAnsi="Segoe UI Semilight" w:cs="Segoe UI Semilight"/>
        </w:rPr>
        <w:t>Lepiešovi</w:t>
      </w:r>
      <w:proofErr w:type="spellEnd"/>
      <w:r>
        <w:rPr>
          <w:rFonts w:ascii="Segoe UI Semilight" w:hAnsi="Segoe UI Semilight" w:cs="Segoe UI Semilight"/>
        </w:rPr>
        <w:t xml:space="preserve">, Richardovi </w:t>
      </w:r>
      <w:proofErr w:type="spellStart"/>
      <w:r>
        <w:rPr>
          <w:rFonts w:ascii="Segoe UI Semilight" w:hAnsi="Segoe UI Semilight" w:cs="Segoe UI Semilight"/>
        </w:rPr>
        <w:t>Ružičkovi</w:t>
      </w:r>
      <w:proofErr w:type="spellEnd"/>
      <w:r>
        <w:rPr>
          <w:rFonts w:ascii="Segoe UI Semilight" w:hAnsi="Segoe UI Semilight" w:cs="Segoe UI Semilight"/>
        </w:rPr>
        <w:t xml:space="preserve">, Kataríne </w:t>
      </w:r>
      <w:proofErr w:type="spellStart"/>
      <w:r>
        <w:rPr>
          <w:rFonts w:ascii="Segoe UI Semilight" w:hAnsi="Segoe UI Semilight" w:cs="Segoe UI Semilight"/>
        </w:rPr>
        <w:t>Kalinayovej</w:t>
      </w:r>
      <w:proofErr w:type="spellEnd"/>
      <w:r>
        <w:rPr>
          <w:rFonts w:ascii="Segoe UI Semilight" w:hAnsi="Segoe UI Semilight" w:cs="Segoe UI Semilight"/>
        </w:rPr>
        <w:t xml:space="preserve"> a Oliverovi </w:t>
      </w:r>
      <w:proofErr w:type="spellStart"/>
      <w:r>
        <w:rPr>
          <w:rFonts w:ascii="Segoe UI Semilight" w:hAnsi="Segoe UI Semilight" w:cs="Segoe UI Semilight"/>
        </w:rPr>
        <w:t>Púčekovi</w:t>
      </w:r>
      <w:proofErr w:type="spellEnd"/>
      <w:r>
        <w:rPr>
          <w:rFonts w:ascii="Segoe UI Semilight" w:hAnsi="Segoe UI Semilight" w:cs="Segoe UI Semilight"/>
        </w:rPr>
        <w:t xml:space="preserve"> (ÚRSO), Jane </w:t>
      </w:r>
      <w:proofErr w:type="spellStart"/>
      <w:r>
        <w:rPr>
          <w:rFonts w:ascii="Segoe UI Semilight" w:hAnsi="Segoe UI Semilight" w:cs="Segoe UI Semilight"/>
        </w:rPr>
        <w:t>Palkovičkovej</w:t>
      </w:r>
      <w:proofErr w:type="spellEnd"/>
      <w:r>
        <w:rPr>
          <w:rFonts w:ascii="Segoe UI Semilight" w:hAnsi="Segoe UI Semilight" w:cs="Segoe UI Semilight"/>
        </w:rPr>
        <w:t xml:space="preserve"> (</w:t>
      </w:r>
      <w:r w:rsidR="00E056AC">
        <w:rPr>
          <w:rFonts w:ascii="Segoe UI Semilight" w:hAnsi="Segoe UI Semilight" w:cs="Segoe UI Semilight"/>
        </w:rPr>
        <w:t xml:space="preserve">IFP, </w:t>
      </w:r>
      <w:r w:rsidR="003647DE">
        <w:rPr>
          <w:rFonts w:ascii="Segoe UI Semilight" w:hAnsi="Segoe UI Semilight" w:cs="Segoe UI Semilight"/>
        </w:rPr>
        <w:t>MF SR)</w:t>
      </w:r>
      <w:r w:rsidR="00E056AC">
        <w:rPr>
          <w:rFonts w:ascii="Segoe UI Semilight" w:hAnsi="Segoe UI Semilight" w:cs="Segoe UI Semilight"/>
        </w:rPr>
        <w:t xml:space="preserve">, </w:t>
      </w:r>
      <w:r>
        <w:rPr>
          <w:rFonts w:ascii="Segoe UI Semilight" w:hAnsi="Segoe UI Semilight" w:cs="Segoe UI Semilight"/>
        </w:rPr>
        <w:t xml:space="preserve">Mariánovi </w:t>
      </w:r>
      <w:proofErr w:type="spellStart"/>
      <w:r>
        <w:rPr>
          <w:rFonts w:ascii="Segoe UI Semilight" w:hAnsi="Segoe UI Semilight" w:cs="Segoe UI Semilight"/>
        </w:rPr>
        <w:t>Halákovi</w:t>
      </w:r>
      <w:proofErr w:type="spellEnd"/>
      <w:r>
        <w:rPr>
          <w:rFonts w:ascii="Segoe UI Semilight" w:hAnsi="Segoe UI Semilight" w:cs="Segoe UI Semilight"/>
        </w:rPr>
        <w:t xml:space="preserve"> (SEPS, </w:t>
      </w:r>
      <w:proofErr w:type="spellStart"/>
      <w:r>
        <w:rPr>
          <w:rFonts w:ascii="Segoe UI Semilight" w:hAnsi="Segoe UI Semilight" w:cs="Segoe UI Semilight"/>
        </w:rPr>
        <w:t>a.s</w:t>
      </w:r>
      <w:proofErr w:type="spellEnd"/>
      <w:r>
        <w:rPr>
          <w:rFonts w:ascii="Segoe UI Semilight" w:hAnsi="Segoe UI Semilight" w:cs="Segoe UI Semilight"/>
        </w:rPr>
        <w:t xml:space="preserve">.), Miroslavovi </w:t>
      </w:r>
      <w:proofErr w:type="spellStart"/>
      <w:r>
        <w:rPr>
          <w:rFonts w:ascii="Segoe UI Semilight" w:hAnsi="Segoe UI Semilight" w:cs="Segoe UI Semilight"/>
        </w:rPr>
        <w:t>Petrusovi</w:t>
      </w:r>
      <w:proofErr w:type="spellEnd"/>
      <w:r>
        <w:rPr>
          <w:rFonts w:ascii="Segoe UI Semilight" w:hAnsi="Segoe UI Semilight" w:cs="Segoe UI Semilight"/>
        </w:rPr>
        <w:t xml:space="preserve"> (Odbor palív a energetiky MH SR) a</w:t>
      </w:r>
      <w:r w:rsidR="00124030">
        <w:rPr>
          <w:rFonts w:ascii="Segoe UI Semilight" w:hAnsi="Segoe UI Semilight" w:cs="Segoe UI Semilight"/>
        </w:rPr>
        <w:t> kolegom z</w:t>
      </w:r>
      <w:r w:rsidR="00852E79">
        <w:rPr>
          <w:rFonts w:ascii="Segoe UI Semilight" w:hAnsi="Segoe UI Semilight" w:cs="Segoe UI Semilight"/>
        </w:rPr>
        <w:t xml:space="preserve"> </w:t>
      </w:r>
      <w:r w:rsidR="00852E79" w:rsidRPr="00B65474">
        <w:rPr>
          <w:rFonts w:ascii="Segoe UI Semilight" w:hAnsi="Segoe UI Semilight" w:cs="Segoe UI Semilight"/>
        </w:rPr>
        <w:t>Inštitútu hospodárskych analýz</w:t>
      </w:r>
      <w:r w:rsidR="00852E79">
        <w:rPr>
          <w:rFonts w:ascii="Segoe UI Semilight" w:hAnsi="Segoe UI Semilight" w:cs="Segoe UI Semilight"/>
        </w:rPr>
        <w:t xml:space="preserve"> MH SR (ďalej len „</w:t>
      </w:r>
      <w:r>
        <w:rPr>
          <w:rFonts w:ascii="Segoe UI Semilight" w:hAnsi="Segoe UI Semilight" w:cs="Segoe UI Semilight"/>
        </w:rPr>
        <w:t>IHA</w:t>
      </w:r>
      <w:r w:rsidR="00852E79">
        <w:rPr>
          <w:rFonts w:ascii="Segoe UI Semilight" w:hAnsi="Segoe UI Semilight" w:cs="Segoe UI Semilight"/>
        </w:rPr>
        <w:t>“)</w:t>
      </w:r>
      <w:r w:rsidR="00124030">
        <w:rPr>
          <w:rFonts w:ascii="Segoe UI Semilight" w:hAnsi="Segoe UI Semilight" w:cs="Segoe UI Semilight"/>
        </w:rPr>
        <w:t>.</w:t>
      </w:r>
      <w:r w:rsidR="003647DE">
        <w:rPr>
          <w:rFonts w:ascii="Segoe UI Semilight" w:hAnsi="Segoe UI Semilight" w:cs="Segoe UI Semilight"/>
        </w:rPr>
        <w:t xml:space="preserve"> Poďakovanie patrí predovšetkým recenzentom materiálu, Jánovi Mykhalchyk </w:t>
      </w:r>
      <w:proofErr w:type="spellStart"/>
      <w:r w:rsidR="003647DE">
        <w:rPr>
          <w:rFonts w:ascii="Segoe UI Semilight" w:hAnsi="Segoe UI Semilight" w:cs="Segoe UI Semilight"/>
        </w:rPr>
        <w:t>Hradickému</w:t>
      </w:r>
      <w:proofErr w:type="spellEnd"/>
      <w:r w:rsidR="003647DE">
        <w:rPr>
          <w:rFonts w:ascii="Segoe UI Semilight" w:hAnsi="Segoe UI Semilight" w:cs="Segoe UI Semilight"/>
        </w:rPr>
        <w:t xml:space="preserve"> (ÚHP) a Marekovi </w:t>
      </w:r>
      <w:proofErr w:type="spellStart"/>
      <w:r w:rsidR="003647DE">
        <w:rPr>
          <w:rFonts w:ascii="Segoe UI Semilight" w:hAnsi="Segoe UI Semilight" w:cs="Segoe UI Semilight"/>
        </w:rPr>
        <w:t>Engeľovi</w:t>
      </w:r>
      <w:proofErr w:type="spellEnd"/>
      <w:r w:rsidR="003647DE">
        <w:rPr>
          <w:rFonts w:ascii="Segoe UI Semilight" w:hAnsi="Segoe UI Semilight" w:cs="Segoe UI Semilight"/>
        </w:rPr>
        <w:t xml:space="preserve"> (IEP MŽP SR).</w:t>
      </w:r>
    </w:p>
    <w:p w14:paraId="0F6DF3AB" w14:textId="77777777" w:rsidR="00183EED" w:rsidRDefault="00183EED" w:rsidP="00BB19E5">
      <w:pPr>
        <w:spacing w:after="0" w:line="276" w:lineRule="auto"/>
        <w:rPr>
          <w:rFonts w:ascii="Segoe UI Semilight" w:hAnsi="Segoe UI Semilight" w:cs="Segoe UI Semilight"/>
          <w:b/>
        </w:rPr>
      </w:pPr>
      <w:r>
        <w:rPr>
          <w:rFonts w:ascii="Segoe UI Semilight" w:hAnsi="Segoe UI Semilight" w:cs="Segoe UI Semilight"/>
          <w:b/>
        </w:rPr>
        <w:t>Upozornenie:</w:t>
      </w:r>
    </w:p>
    <w:p w14:paraId="33D5B0ED" w14:textId="2C64CB0F" w:rsidR="003641AF" w:rsidRDefault="00B65474" w:rsidP="005301E0">
      <w:pPr>
        <w:spacing w:after="0"/>
        <w:rPr>
          <w:rFonts w:ascii="Segoe UI Semilight" w:hAnsi="Segoe UI Semilight" w:cs="Segoe UI Semilight"/>
        </w:rPr>
      </w:pPr>
      <w:r w:rsidRPr="00B65474">
        <w:rPr>
          <w:rFonts w:ascii="Segoe UI Semilight" w:hAnsi="Segoe UI Semilight" w:cs="Segoe UI Semilight"/>
        </w:rPr>
        <w:t>Mater</w:t>
      </w:r>
      <w:r w:rsidR="00183EED">
        <w:rPr>
          <w:rFonts w:ascii="Segoe UI Semilight" w:hAnsi="Segoe UI Semilight" w:cs="Segoe UI Semilight"/>
        </w:rPr>
        <w:t>iál prezentuje názory autorov IHA</w:t>
      </w:r>
      <w:r w:rsidRPr="00B65474">
        <w:rPr>
          <w:rFonts w:ascii="Segoe UI Semilight" w:hAnsi="Segoe UI Semilight" w:cs="Segoe UI Semilight"/>
        </w:rPr>
        <w:t>, ktoré nemusia nutne odzrkadľovať oficiálne náz</w:t>
      </w:r>
      <w:r w:rsidR="00183EED">
        <w:rPr>
          <w:rFonts w:ascii="Segoe UI Semilight" w:hAnsi="Segoe UI Semilight" w:cs="Segoe UI Semilight"/>
        </w:rPr>
        <w:t>ory Ministerstva hospodárstva Slovenskej republiky (</w:t>
      </w:r>
      <w:r w:rsidR="00EB27B1">
        <w:rPr>
          <w:rFonts w:ascii="Segoe UI Semilight" w:hAnsi="Segoe UI Semilight" w:cs="Segoe UI Semilight"/>
        </w:rPr>
        <w:t>ďalej len „</w:t>
      </w:r>
      <w:r w:rsidR="00183EED">
        <w:rPr>
          <w:rFonts w:ascii="Segoe UI Semilight" w:hAnsi="Segoe UI Semilight" w:cs="Segoe UI Semilight"/>
        </w:rPr>
        <w:t>MH SR</w:t>
      </w:r>
      <w:r w:rsidR="00EB27B1">
        <w:rPr>
          <w:rFonts w:ascii="Segoe UI Semilight" w:hAnsi="Segoe UI Semilight" w:cs="Segoe UI Semilight"/>
        </w:rPr>
        <w:t>“</w:t>
      </w:r>
      <w:r w:rsidR="00183EED">
        <w:rPr>
          <w:rFonts w:ascii="Segoe UI Semilight" w:hAnsi="Segoe UI Semilight" w:cs="Segoe UI Semilight"/>
        </w:rPr>
        <w:t>)</w:t>
      </w:r>
      <w:r w:rsidRPr="00B65474">
        <w:rPr>
          <w:rFonts w:ascii="Segoe UI Semilight" w:hAnsi="Segoe UI Semilight" w:cs="Segoe UI Semilight"/>
        </w:rPr>
        <w:t xml:space="preserve">. </w:t>
      </w:r>
      <w:r w:rsidR="00183EED">
        <w:rPr>
          <w:rFonts w:ascii="Segoe UI Semilight" w:hAnsi="Segoe UI Semilight" w:cs="Segoe UI Semilight"/>
        </w:rPr>
        <w:t>Cieľom publikovania materiálov je podnecovať a zlepšovať odbornú a verejnú diskusiu na aktuálne hospodárske témy. Citácie textu by preto mali odkazovať na IHA (a nie MH SR) ako autorov týchto názorov.</w:t>
      </w:r>
    </w:p>
    <w:p w14:paraId="27F14E03" w14:textId="5F6F4643" w:rsidR="003641AF" w:rsidRDefault="003641AF" w:rsidP="003641AF">
      <w:pPr>
        <w:pStyle w:val="Nadpis1"/>
      </w:pPr>
      <w:bookmarkStart w:id="2" w:name="_Toc121990621"/>
      <w:bookmarkStart w:id="3" w:name="_Toc121993844"/>
      <w:r>
        <w:lastRenderedPageBreak/>
        <w:t>Základné def</w:t>
      </w:r>
      <w:r w:rsidR="0086427E">
        <w:t>inície</w:t>
      </w:r>
      <w:r w:rsidR="00B322AB">
        <w:t xml:space="preserve"> a rozdelenie dotácií</w:t>
      </w:r>
      <w:r w:rsidR="00B322AB">
        <w:rPr>
          <w:rStyle w:val="Odkaznapoznmkupodiarou"/>
        </w:rPr>
        <w:footnoteReference w:id="2"/>
      </w:r>
      <w:bookmarkEnd w:id="2"/>
      <w:bookmarkEnd w:id="3"/>
    </w:p>
    <w:p w14:paraId="026041D4" w14:textId="20AE37FD" w:rsidR="00B322AB" w:rsidRDefault="00B322AB" w:rsidP="00CB0979">
      <w:pPr>
        <w:spacing w:after="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  <w:b/>
        </w:rPr>
        <w:t>Na medzinárodnej úrovni doposiaľ neexistuje jednotná definícia dotácie (resp. subvencie) na fosílne palivá. Každá inštitúcia na národnej alebo medzinárodnej úrovni klasifikuje definíciu na základe jej ponímania danej problematiky</w:t>
      </w:r>
      <w:r w:rsidR="00EB27B1">
        <w:rPr>
          <w:rFonts w:ascii="Segoe UI Semilight" w:hAnsi="Segoe UI Semilight" w:cs="Segoe UI Semilight"/>
          <w:b/>
        </w:rPr>
        <w:t>.</w:t>
      </w:r>
      <w:r>
        <w:rPr>
          <w:rFonts w:ascii="Segoe UI Semilight" w:hAnsi="Segoe UI Semilight" w:cs="Segoe UI Semilight"/>
          <w:b/>
        </w:rPr>
        <w:t xml:space="preserve"> </w:t>
      </w:r>
      <w:r w:rsidR="00EB27B1">
        <w:rPr>
          <w:rFonts w:ascii="Segoe UI Semilight" w:hAnsi="Segoe UI Semilight" w:cs="Segoe UI Semilight"/>
          <w:b/>
        </w:rPr>
        <w:t>J</w:t>
      </w:r>
      <w:r>
        <w:rPr>
          <w:rFonts w:ascii="Segoe UI Semilight" w:hAnsi="Segoe UI Semilight" w:cs="Segoe UI Semilight"/>
          <w:b/>
        </w:rPr>
        <w:t>e možné</w:t>
      </w:r>
      <w:r>
        <w:rPr>
          <w:rFonts w:ascii="Segoe UI Semilight" w:hAnsi="Segoe UI Semilight" w:cs="Segoe UI Semilight"/>
        </w:rPr>
        <w:t xml:space="preserve"> </w:t>
      </w:r>
      <w:r w:rsidR="00852E79">
        <w:rPr>
          <w:rFonts w:ascii="Segoe UI Semilight" w:hAnsi="Segoe UI Semilight" w:cs="Segoe UI Semilight"/>
          <w:b/>
        </w:rPr>
        <w:t xml:space="preserve">badať </w:t>
      </w:r>
      <w:r>
        <w:rPr>
          <w:rFonts w:ascii="Segoe UI Semilight" w:hAnsi="Segoe UI Semilight" w:cs="Segoe UI Semilight"/>
          <w:b/>
        </w:rPr>
        <w:t>značné rozdiely</w:t>
      </w:r>
      <w:r>
        <w:rPr>
          <w:rFonts w:ascii="Segoe UI Semilight" w:hAnsi="Segoe UI Semilight" w:cs="Segoe UI Semilight"/>
        </w:rPr>
        <w:t>, pričom ich najčastejším spoločným znakom je zásah štátu. Medzinárodný menový fond považuje za dotáciu záporný rozdiel medzi spotrebiteľskou cenou a cenou dodávky. Svetová banka poníma dotácie ako zámerné politické opatrenia vlády. Systém národných účtov SNA berie ako dotácie nevratné platby vlády podnikom a Svetová obchodná organizácia rozlišuje dotácie na základe vládnych transferov alebo štátneho vlastníctva energetického podniku.</w:t>
      </w:r>
    </w:p>
    <w:p w14:paraId="41CA1F88" w14:textId="17D89144" w:rsidR="00B322AB" w:rsidRDefault="00B322AB" w:rsidP="00B322AB">
      <w:pPr>
        <w:spacing w:after="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  <w:b/>
        </w:rPr>
        <w:t>Definícia fosílnych palív taktiež nie je na medzinárodnej úrovni spoločná a jednoznačná.</w:t>
      </w:r>
      <w:r>
        <w:rPr>
          <w:rFonts w:ascii="Segoe UI Semilight" w:hAnsi="Segoe UI Semilight" w:cs="Segoe UI Semilight"/>
        </w:rPr>
        <w:t xml:space="preserve"> Vo všeobecnosti sa tieto definície (pochádzajúce </w:t>
      </w:r>
      <w:r w:rsidR="00E11F8B">
        <w:rPr>
          <w:rFonts w:ascii="Segoe UI Semilight" w:hAnsi="Segoe UI Semilight" w:cs="Segoe UI Semilight"/>
        </w:rPr>
        <w:t>z</w:t>
      </w:r>
      <w:r w:rsidR="00EB27B1">
        <w:rPr>
          <w:rFonts w:ascii="Segoe UI Semilight" w:hAnsi="Segoe UI Semilight" w:cs="Segoe UI Semilight"/>
        </w:rPr>
        <w:t> </w:t>
      </w:r>
      <w:r>
        <w:rPr>
          <w:rFonts w:ascii="Segoe UI Semilight" w:hAnsi="Segoe UI Semilight" w:cs="Segoe UI Semilight"/>
        </w:rPr>
        <w:t>inštitúcií</w:t>
      </w:r>
      <w:r w:rsidR="00EB27B1">
        <w:rPr>
          <w:rFonts w:ascii="Segoe UI Semilight" w:hAnsi="Segoe UI Semilight" w:cs="Segoe UI Semilight"/>
        </w:rPr>
        <w:t xml:space="preserve"> ako</w:t>
      </w:r>
      <w:r>
        <w:rPr>
          <w:rFonts w:ascii="Segoe UI Semilight" w:hAnsi="Segoe UI Semilight" w:cs="Segoe UI Semilight"/>
        </w:rPr>
        <w:t xml:space="preserve"> </w:t>
      </w:r>
      <w:r w:rsidR="00582758">
        <w:rPr>
          <w:rFonts w:ascii="Segoe UI Semilight" w:hAnsi="Segoe UI Semilight" w:cs="Segoe UI Semilight"/>
        </w:rPr>
        <w:t>Medzinárodn</w:t>
      </w:r>
      <w:r w:rsidR="00EB27B1">
        <w:rPr>
          <w:rFonts w:ascii="Segoe UI Semilight" w:hAnsi="Segoe UI Semilight" w:cs="Segoe UI Semilight"/>
        </w:rPr>
        <w:t>á</w:t>
      </w:r>
      <w:r w:rsidR="00582758">
        <w:rPr>
          <w:rFonts w:ascii="Segoe UI Semilight" w:hAnsi="Segoe UI Semilight" w:cs="Segoe UI Semilight"/>
        </w:rPr>
        <w:t xml:space="preserve"> energetick</w:t>
      </w:r>
      <w:r w:rsidR="00EB27B1">
        <w:rPr>
          <w:rFonts w:ascii="Segoe UI Semilight" w:hAnsi="Segoe UI Semilight" w:cs="Segoe UI Semilight"/>
        </w:rPr>
        <w:t>á</w:t>
      </w:r>
      <w:r w:rsidR="00582758">
        <w:rPr>
          <w:rFonts w:ascii="Segoe UI Semilight" w:hAnsi="Segoe UI Semilight" w:cs="Segoe UI Semilight"/>
        </w:rPr>
        <w:t xml:space="preserve"> agentúr</w:t>
      </w:r>
      <w:r w:rsidR="00EB27B1">
        <w:rPr>
          <w:rFonts w:ascii="Segoe UI Semilight" w:hAnsi="Segoe UI Semilight" w:cs="Segoe UI Semilight"/>
        </w:rPr>
        <w:t>a</w:t>
      </w:r>
      <w:r w:rsidR="00582758">
        <w:rPr>
          <w:rFonts w:ascii="Segoe UI Semilight" w:hAnsi="Segoe UI Semilight" w:cs="Segoe UI Semilight"/>
        </w:rPr>
        <w:t xml:space="preserve">  (</w:t>
      </w:r>
      <w:r>
        <w:rPr>
          <w:rFonts w:ascii="Segoe UI Semilight" w:hAnsi="Segoe UI Semilight" w:cs="Segoe UI Semilight"/>
        </w:rPr>
        <w:t>IEA</w:t>
      </w:r>
      <w:r w:rsidR="00582758">
        <w:rPr>
          <w:rFonts w:ascii="Segoe UI Semilight" w:hAnsi="Segoe UI Semilight" w:cs="Segoe UI Semilight"/>
        </w:rPr>
        <w:t>)</w:t>
      </w:r>
      <w:r>
        <w:rPr>
          <w:rFonts w:ascii="Segoe UI Semilight" w:hAnsi="Segoe UI Semilight" w:cs="Segoe UI Semilight"/>
        </w:rPr>
        <w:t xml:space="preserve"> a OECD) rozlišujú v dvoch hlavných aspektoch, a to či sa do definície zahŕňajú primárne a všetky sekundárne komodity pochádzajúce z fosílnych palív (t. j. elektriny a tepla) alebo sa zahŕňajú všetky p</w:t>
      </w:r>
      <w:r w:rsidR="00E85124">
        <w:rPr>
          <w:rFonts w:ascii="Segoe UI Semilight" w:hAnsi="Segoe UI Semilight" w:cs="Segoe UI Semilight"/>
        </w:rPr>
        <w:t xml:space="preserve">oužitia fosílnych palív vrátane </w:t>
      </w:r>
      <w:r>
        <w:rPr>
          <w:rFonts w:ascii="Segoe UI Semilight" w:hAnsi="Segoe UI Semilight" w:cs="Segoe UI Semilight"/>
        </w:rPr>
        <w:t xml:space="preserve">a spracovaných produktov. </w:t>
      </w:r>
    </w:p>
    <w:p w14:paraId="0228831F" w14:textId="10220AA2" w:rsidR="00B322AB" w:rsidRDefault="00B322AB" w:rsidP="00B322AB">
      <w:pPr>
        <w:spacing w:after="0"/>
        <w:rPr>
          <w:rFonts w:ascii="Segoe UI Semilight" w:hAnsi="Segoe UI Semilight" w:cs="Segoe UI Semilight"/>
          <w:b/>
        </w:rPr>
      </w:pPr>
      <w:r>
        <w:rPr>
          <w:rFonts w:ascii="Segoe UI Semilight" w:hAnsi="Segoe UI Semilight" w:cs="Segoe UI Semilight"/>
          <w:b/>
        </w:rPr>
        <w:t xml:space="preserve">Na základe odporúčania z metodiky OSN (ktorá </w:t>
      </w:r>
      <w:r w:rsidR="002868C8">
        <w:rPr>
          <w:rFonts w:ascii="Segoe UI Semilight" w:hAnsi="Segoe UI Semilight" w:cs="Segoe UI Semilight"/>
          <w:b/>
        </w:rPr>
        <w:t>je založená na metodikách vyššie uvedených</w:t>
      </w:r>
      <w:r>
        <w:rPr>
          <w:rFonts w:ascii="Segoe UI Semilight" w:hAnsi="Segoe UI Semilight" w:cs="Segoe UI Semilight"/>
          <w:b/>
        </w:rPr>
        <w:t xml:space="preserve"> inštitúcií) pozostáva konečný indikátor z troch čiastkových </w:t>
      </w:r>
      <w:proofErr w:type="spellStart"/>
      <w:r>
        <w:rPr>
          <w:rFonts w:ascii="Segoe UI Semilight" w:hAnsi="Segoe UI Semilight" w:cs="Segoe UI Semilight"/>
          <w:b/>
        </w:rPr>
        <w:t>subindikátorov</w:t>
      </w:r>
      <w:proofErr w:type="spellEnd"/>
      <w:r>
        <w:rPr>
          <w:rFonts w:ascii="Segoe UI Semilight" w:hAnsi="Segoe UI Semilight" w:cs="Segoe UI Semilight"/>
          <w:b/>
        </w:rPr>
        <w:t>:</w:t>
      </w:r>
    </w:p>
    <w:p w14:paraId="673AF727" w14:textId="77777777" w:rsidR="00B322AB" w:rsidRDefault="00B322AB" w:rsidP="001313AF">
      <w:pPr>
        <w:pStyle w:val="Odsekzoznamu"/>
        <w:numPr>
          <w:ilvl w:val="0"/>
          <w:numId w:val="30"/>
        </w:numPr>
        <w:spacing w:after="0"/>
        <w:ind w:left="714" w:hanging="357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priame dotácie,</w:t>
      </w:r>
    </w:p>
    <w:p w14:paraId="5C288A88" w14:textId="77777777" w:rsidR="00B322AB" w:rsidRDefault="00B322AB" w:rsidP="00B322AB">
      <w:pPr>
        <w:pStyle w:val="Odsekzoznamu"/>
        <w:numPr>
          <w:ilvl w:val="0"/>
          <w:numId w:val="30"/>
        </w:numPr>
        <w:spacing w:after="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daňové výdavky,</w:t>
      </w:r>
    </w:p>
    <w:p w14:paraId="6F4AA1BA" w14:textId="127A3B5E" w:rsidR="003641AF" w:rsidRPr="00B322AB" w:rsidRDefault="00B322AB" w:rsidP="00B322AB">
      <w:pPr>
        <w:pStyle w:val="Odsekzoznamu"/>
        <w:numPr>
          <w:ilvl w:val="0"/>
          <w:numId w:val="30"/>
        </w:numPr>
        <w:spacing w:after="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nepriame dotácie.</w:t>
      </w:r>
    </w:p>
    <w:p w14:paraId="5C88B32C" w14:textId="7407FAB4" w:rsidR="003641AF" w:rsidRDefault="00B322AB" w:rsidP="001313AF">
      <w:pPr>
        <w:pStyle w:val="Nadpis1"/>
        <w:ind w:left="357" w:hanging="357"/>
      </w:pPr>
      <w:bookmarkStart w:id="4" w:name="_Toc121990622"/>
      <w:bookmarkStart w:id="5" w:name="_Toc121993845"/>
      <w:r>
        <w:t>Dotácie na fosílne palivá</w:t>
      </w:r>
      <w:bookmarkEnd w:id="4"/>
      <w:bookmarkEnd w:id="5"/>
    </w:p>
    <w:p w14:paraId="6283BDBE" w14:textId="6E5BF4D4" w:rsidR="00B322AB" w:rsidRDefault="00B322AB" w:rsidP="00B322AB">
      <w:pPr>
        <w:spacing w:after="0"/>
        <w:rPr>
          <w:rFonts w:ascii="Segoe UI Semilight" w:hAnsi="Segoe UI Semilight" w:cs="Segoe UI Semilight"/>
          <w:highlight w:val="darkYellow"/>
        </w:rPr>
      </w:pPr>
      <w:r>
        <w:rPr>
          <w:rFonts w:ascii="Segoe UI Semilight" w:hAnsi="Segoe UI Semilight" w:cs="Segoe UI Semilight"/>
        </w:rPr>
        <w:t xml:space="preserve">Materiál je vypracovaný na základe požiadavky ŠÚ SR na zostavenie </w:t>
      </w:r>
      <w:r w:rsidRPr="00D608E8">
        <w:rPr>
          <w:rFonts w:ascii="Segoe UI Semilight" w:hAnsi="Segoe UI Semilight" w:cs="Segoe UI Semilight"/>
        </w:rPr>
        <w:t>predmetného indikátora</w:t>
      </w:r>
      <w:r>
        <w:rPr>
          <w:rFonts w:ascii="Segoe UI Semilight" w:hAnsi="Segoe UI Semilight" w:cs="Segoe UI Semilight"/>
        </w:rPr>
        <w:t xml:space="preserve"> pre II. S</w:t>
      </w:r>
      <w:r w:rsidR="00D21AFC">
        <w:rPr>
          <w:rFonts w:ascii="Segoe UI Semilight" w:hAnsi="Segoe UI Semilight" w:cs="Segoe UI Semilight"/>
        </w:rPr>
        <w:t>právu o dosiahnutých výsledkoch</w:t>
      </w:r>
      <w:r>
        <w:rPr>
          <w:rFonts w:ascii="Segoe UI Semilight" w:hAnsi="Segoe UI Semilight" w:cs="Segoe UI Semilight"/>
        </w:rPr>
        <w:t> </w:t>
      </w:r>
      <w:r w:rsidR="00582758">
        <w:rPr>
          <w:rFonts w:ascii="Segoe UI Semilight" w:hAnsi="Segoe UI Semilight" w:cs="Segoe UI Semilight"/>
        </w:rPr>
        <w:t>Národných prior</w:t>
      </w:r>
      <w:r w:rsidR="00EB27B1">
        <w:rPr>
          <w:rFonts w:ascii="Segoe UI Semilight" w:hAnsi="Segoe UI Semilight" w:cs="Segoe UI Semilight"/>
        </w:rPr>
        <w:t>ít</w:t>
      </w:r>
      <w:r w:rsidR="00582758">
        <w:rPr>
          <w:rFonts w:ascii="Segoe UI Semilight" w:hAnsi="Segoe UI Semilight" w:cs="Segoe UI Semilight"/>
        </w:rPr>
        <w:t xml:space="preserve"> </w:t>
      </w:r>
      <w:r>
        <w:rPr>
          <w:rFonts w:ascii="Segoe UI Semilight" w:hAnsi="Segoe UI Semilight" w:cs="Segoe UI Semilight"/>
        </w:rPr>
        <w:t xml:space="preserve">implementácie Agendy 2030 podľa metodiky OSN. Základným cieľom je </w:t>
      </w:r>
      <w:r w:rsidR="00697761">
        <w:rPr>
          <w:rFonts w:ascii="Segoe UI Semilight" w:hAnsi="Segoe UI Semilight" w:cs="Segoe UI Semilight"/>
        </w:rPr>
        <w:t xml:space="preserve">identifikovať </w:t>
      </w:r>
      <w:r>
        <w:rPr>
          <w:rFonts w:ascii="Segoe UI Semilight" w:hAnsi="Segoe UI Semilight" w:cs="Segoe UI Semilight"/>
        </w:rPr>
        <w:t>dotáci</w:t>
      </w:r>
      <w:r w:rsidR="00697761">
        <w:rPr>
          <w:rFonts w:ascii="Segoe UI Semilight" w:hAnsi="Segoe UI Semilight" w:cs="Segoe UI Semilight"/>
        </w:rPr>
        <w:t>e</w:t>
      </w:r>
      <w:r>
        <w:rPr>
          <w:rFonts w:ascii="Segoe UI Semilight" w:hAnsi="Segoe UI Semilight" w:cs="Segoe UI Semilight"/>
        </w:rPr>
        <w:t xml:space="preserve"> a </w:t>
      </w:r>
      <w:r w:rsidR="00697761">
        <w:rPr>
          <w:rFonts w:ascii="Segoe UI Semilight" w:hAnsi="Segoe UI Semilight" w:cs="Segoe UI Semilight"/>
        </w:rPr>
        <w:t xml:space="preserve">racionalizovať podporu </w:t>
      </w:r>
      <w:r>
        <w:rPr>
          <w:rFonts w:ascii="Segoe UI Semilight" w:hAnsi="Segoe UI Semilight" w:cs="Segoe UI Semilight"/>
        </w:rPr>
        <w:t>fosílnych palív na Slovensku, ktoré napomáhajú nehospodárnej spotrebe a odstrániť tak deformácie trhu v súlade s vnútroštátnymi záležitosťami a zohľad</w:t>
      </w:r>
      <w:r w:rsidR="00697761">
        <w:rPr>
          <w:rFonts w:ascii="Segoe UI Semilight" w:hAnsi="Segoe UI Semilight" w:cs="Segoe UI Semilight"/>
        </w:rPr>
        <w:t>není</w:t>
      </w:r>
      <w:r>
        <w:rPr>
          <w:rFonts w:ascii="Segoe UI Semilight" w:hAnsi="Segoe UI Semilight" w:cs="Segoe UI Semilight"/>
        </w:rPr>
        <w:t xml:space="preserve"> ich vplyv</w:t>
      </w:r>
      <w:r w:rsidR="00697761">
        <w:rPr>
          <w:rFonts w:ascii="Segoe UI Semilight" w:hAnsi="Segoe UI Semilight" w:cs="Segoe UI Semilight"/>
        </w:rPr>
        <w:t>u</w:t>
      </w:r>
      <w:r>
        <w:rPr>
          <w:rFonts w:ascii="Segoe UI Semilight" w:hAnsi="Segoe UI Semilight" w:cs="Segoe UI Semilight"/>
        </w:rPr>
        <w:t xml:space="preserve"> na životné prostredie. </w:t>
      </w:r>
    </w:p>
    <w:p w14:paraId="52E287B2" w14:textId="07870466" w:rsidR="0078137D" w:rsidRDefault="00B322AB" w:rsidP="00B322AB">
      <w:pPr>
        <w:spacing w:after="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  <w:b/>
        </w:rPr>
        <w:t>Slovensko podporovalo používanie fosíln</w:t>
      </w:r>
      <w:r w:rsidR="00CF247D">
        <w:rPr>
          <w:rFonts w:ascii="Segoe UI Semilight" w:hAnsi="Segoe UI Semilight" w:cs="Segoe UI Semilight"/>
          <w:b/>
        </w:rPr>
        <w:t>ych palív priemerne vo výške 307,8</w:t>
      </w:r>
      <w:r w:rsidR="000546D7">
        <w:rPr>
          <w:rFonts w:ascii="Segoe UI Semilight" w:hAnsi="Segoe UI Semilight" w:cs="Segoe UI Semilight"/>
          <w:b/>
        </w:rPr>
        <w:t xml:space="preserve"> mil. eur ročne (roky  2011 </w:t>
      </w:r>
      <w:r w:rsidR="00697761">
        <w:rPr>
          <w:rFonts w:ascii="Segoe UI Semilight" w:hAnsi="Segoe UI Semilight" w:cs="Segoe UI Semilight"/>
          <w:b/>
        </w:rPr>
        <w:t>–</w:t>
      </w:r>
      <w:r w:rsidR="000546D7">
        <w:rPr>
          <w:rFonts w:ascii="Segoe UI Semilight" w:hAnsi="Segoe UI Semilight" w:cs="Segoe UI Semilight"/>
          <w:b/>
        </w:rPr>
        <w:t xml:space="preserve"> </w:t>
      </w:r>
      <w:r>
        <w:rPr>
          <w:rFonts w:ascii="Segoe UI Semilight" w:hAnsi="Segoe UI Semilight" w:cs="Segoe UI Semilight"/>
          <w:b/>
        </w:rPr>
        <w:t>2021 vrátane</w:t>
      </w:r>
      <w:r w:rsidR="000546D7">
        <w:rPr>
          <w:rFonts w:ascii="Segoe UI Semilight" w:hAnsi="Segoe UI Semilight" w:cs="Segoe UI Semilight"/>
          <w:b/>
        </w:rPr>
        <w:t>)</w:t>
      </w:r>
      <w:r w:rsidR="000546D7">
        <w:rPr>
          <w:rStyle w:val="Odkaznapoznmkupodiarou"/>
          <w:rFonts w:ascii="Segoe UI Semilight" w:hAnsi="Segoe UI Semilight" w:cs="Segoe UI Semilight"/>
          <w:b/>
        </w:rPr>
        <w:footnoteReference w:id="3"/>
      </w:r>
      <w:r w:rsidR="00CF247D">
        <w:rPr>
          <w:rFonts w:ascii="Segoe UI Semilight" w:hAnsi="Segoe UI Semilight" w:cs="Segoe UI Semilight"/>
        </w:rPr>
        <w:t>, z toho 54,5</w:t>
      </w:r>
      <w:r w:rsidR="008242AF">
        <w:rPr>
          <w:rFonts w:ascii="Segoe UI Semilight" w:hAnsi="Segoe UI Semilight" w:cs="Segoe UI Semilight"/>
        </w:rPr>
        <w:t xml:space="preserve"> % predstavovala</w:t>
      </w:r>
      <w:r>
        <w:rPr>
          <w:rFonts w:ascii="Segoe UI Semilight" w:hAnsi="Segoe UI Semilight" w:cs="Segoe UI Semilight"/>
        </w:rPr>
        <w:t xml:space="preserve"> priama po</w:t>
      </w:r>
      <w:r w:rsidR="00CF247D">
        <w:rPr>
          <w:rFonts w:ascii="Segoe UI Semilight" w:hAnsi="Segoe UI Semilight" w:cs="Segoe UI Semilight"/>
        </w:rPr>
        <w:t>dpora</w:t>
      </w:r>
      <w:r w:rsidR="00F51DE3">
        <w:rPr>
          <w:rFonts w:ascii="Segoe UI Semilight" w:hAnsi="Segoe UI Semilight" w:cs="Segoe UI Semilight"/>
        </w:rPr>
        <w:t xml:space="preserve"> a </w:t>
      </w:r>
      <w:r w:rsidR="00CF247D">
        <w:rPr>
          <w:rFonts w:ascii="Segoe UI Semilight" w:hAnsi="Segoe UI Semilight" w:cs="Segoe UI Semilight"/>
        </w:rPr>
        <w:t>40,2</w:t>
      </w:r>
      <w:r>
        <w:rPr>
          <w:rFonts w:ascii="Segoe UI Semilight" w:hAnsi="Segoe UI Semilight" w:cs="Segoe UI Semilight"/>
        </w:rPr>
        <w:t xml:space="preserve"> % daňové úľavy. </w:t>
      </w:r>
      <w:r w:rsidR="00F51DE3">
        <w:rPr>
          <w:rFonts w:ascii="Segoe UI Semilight" w:hAnsi="Segoe UI Semilight" w:cs="Segoe UI Semilight"/>
        </w:rPr>
        <w:t>Táto forma</w:t>
      </w:r>
      <w:r w:rsidR="008242AF">
        <w:rPr>
          <w:rFonts w:ascii="Segoe UI Semilight" w:hAnsi="Segoe UI Semilight" w:cs="Segoe UI Semilight"/>
        </w:rPr>
        <w:t xml:space="preserve"> pomoci mala</w:t>
      </w:r>
      <w:r>
        <w:rPr>
          <w:rFonts w:ascii="Segoe UI Semilight" w:hAnsi="Segoe UI Semilight" w:cs="Segoe UI Semilight"/>
        </w:rPr>
        <w:t xml:space="preserve"> v sledovanom období ustálený trend. </w:t>
      </w:r>
      <w:r w:rsidR="008242AF">
        <w:rPr>
          <w:rFonts w:ascii="Segoe UI Semilight" w:hAnsi="Segoe UI Semilight" w:cs="Segoe UI Semilight"/>
        </w:rPr>
        <w:t>Nepriama podpora predstavovala</w:t>
      </w:r>
      <w:r w:rsidR="00CF247D">
        <w:rPr>
          <w:rFonts w:ascii="Segoe UI Semilight" w:hAnsi="Segoe UI Semilight" w:cs="Segoe UI Semilight"/>
        </w:rPr>
        <w:t xml:space="preserve"> 5,3</w:t>
      </w:r>
      <w:r>
        <w:rPr>
          <w:rFonts w:ascii="Segoe UI Semilight" w:hAnsi="Segoe UI Semilight" w:cs="Segoe UI Semilight"/>
        </w:rPr>
        <w:t xml:space="preserve"> %</w:t>
      </w:r>
      <w:r w:rsidR="008242AF">
        <w:rPr>
          <w:rFonts w:ascii="Segoe UI Semilight" w:hAnsi="Segoe UI Semilight" w:cs="Segoe UI Semilight"/>
        </w:rPr>
        <w:t xml:space="preserve">, </w:t>
      </w:r>
      <w:r w:rsidR="00E11F8B">
        <w:rPr>
          <w:rFonts w:ascii="Segoe UI Semilight" w:hAnsi="Segoe UI Semilight" w:cs="Segoe UI Semilight"/>
        </w:rPr>
        <w:t>išlo</w:t>
      </w:r>
      <w:r w:rsidR="00CB03CC">
        <w:rPr>
          <w:rFonts w:ascii="Segoe UI Semilight" w:hAnsi="Segoe UI Semilight" w:cs="Segoe UI Semilight"/>
        </w:rPr>
        <w:t xml:space="preserve"> o </w:t>
      </w:r>
      <w:r>
        <w:rPr>
          <w:rFonts w:ascii="Segoe UI Semilight" w:hAnsi="Segoe UI Semilight" w:cs="Segoe UI Semilight"/>
        </w:rPr>
        <w:t xml:space="preserve">fluktuujúci trend </w:t>
      </w:r>
      <w:r w:rsidR="00E542D9">
        <w:rPr>
          <w:rFonts w:ascii="Segoe UI Semilight" w:hAnsi="Segoe UI Semilight" w:cs="Segoe UI Semilight"/>
        </w:rPr>
        <w:t xml:space="preserve">reflektujúci </w:t>
      </w:r>
      <w:r>
        <w:rPr>
          <w:rFonts w:ascii="Segoe UI Semilight" w:hAnsi="Segoe UI Semilight" w:cs="Segoe UI Semilight"/>
        </w:rPr>
        <w:t xml:space="preserve">závislosť </w:t>
      </w:r>
      <w:r w:rsidR="00E542D9">
        <w:rPr>
          <w:rFonts w:ascii="Segoe UI Semilight" w:hAnsi="Segoe UI Semilight" w:cs="Segoe UI Semilight"/>
        </w:rPr>
        <w:t xml:space="preserve">výšky dotácií </w:t>
      </w:r>
      <w:r>
        <w:rPr>
          <w:rFonts w:ascii="Segoe UI Semilight" w:hAnsi="Segoe UI Semilight" w:cs="Segoe UI Semilight"/>
        </w:rPr>
        <w:t xml:space="preserve">od cien energii a komodít na trhu a regulačných vyhlášok inštitúcií SR. Z hľadiska typu fosílneho zdroja podporoval štát </w:t>
      </w:r>
      <w:r w:rsidR="00D5079D">
        <w:rPr>
          <w:rFonts w:ascii="Segoe UI Semilight" w:hAnsi="Segoe UI Semilight" w:cs="Segoe UI Semilight"/>
        </w:rPr>
        <w:t xml:space="preserve">v sledovanom období </w:t>
      </w:r>
      <w:r w:rsidR="00CF247D">
        <w:rPr>
          <w:rFonts w:ascii="Segoe UI Semilight" w:hAnsi="Segoe UI Semilight" w:cs="Segoe UI Semilight"/>
        </w:rPr>
        <w:t>v najväčšej miere uhlie (52,5 %) a zemný plyn (32,2</w:t>
      </w:r>
      <w:r>
        <w:rPr>
          <w:rFonts w:ascii="Segoe UI Semilight" w:hAnsi="Segoe UI Semilight" w:cs="Segoe UI Semilight"/>
        </w:rPr>
        <w:t xml:space="preserve"> %). </w:t>
      </w:r>
    </w:p>
    <w:p w14:paraId="7313048D" w14:textId="39F14D4F" w:rsidR="00B322AB" w:rsidRDefault="00B322AB" w:rsidP="00B322AB">
      <w:pPr>
        <w:spacing w:after="0"/>
        <w:rPr>
          <w:rFonts w:ascii="Segoe UI Semilight" w:hAnsi="Segoe UI Semilight" w:cs="Segoe UI Semilight"/>
        </w:rPr>
      </w:pPr>
      <w:r w:rsidRPr="00745994">
        <w:rPr>
          <w:rFonts w:ascii="Segoe UI Semilight" w:hAnsi="Segoe UI Semilight" w:cs="Segoe UI Semilight"/>
          <w:b/>
        </w:rPr>
        <w:t xml:space="preserve">Podiel dotácií </w:t>
      </w:r>
      <w:r w:rsidR="00697761">
        <w:rPr>
          <w:rFonts w:ascii="Segoe UI Semilight" w:hAnsi="Segoe UI Semilight" w:cs="Segoe UI Semilight"/>
          <w:b/>
        </w:rPr>
        <w:t xml:space="preserve">na fosílne palivá </w:t>
      </w:r>
      <w:r w:rsidRPr="00745994">
        <w:rPr>
          <w:rFonts w:ascii="Segoe UI Semilight" w:hAnsi="Segoe UI Semilight" w:cs="Segoe UI Semilight"/>
          <w:b/>
        </w:rPr>
        <w:t>na celkovom HDP Sloven</w:t>
      </w:r>
      <w:r w:rsidR="00183EED">
        <w:rPr>
          <w:rFonts w:ascii="Segoe UI Semilight" w:hAnsi="Segoe UI Semilight" w:cs="Segoe UI Semilight"/>
          <w:b/>
        </w:rPr>
        <w:t>ska bol na úrovni priemerne 0,36</w:t>
      </w:r>
      <w:r w:rsidRPr="00745994">
        <w:rPr>
          <w:rFonts w:ascii="Segoe UI Semilight" w:hAnsi="Segoe UI Semilight" w:cs="Segoe UI Semilight"/>
          <w:b/>
        </w:rPr>
        <w:t xml:space="preserve"> % ročne</w:t>
      </w:r>
      <w:r w:rsidR="00183EED">
        <w:rPr>
          <w:rFonts w:ascii="Segoe UI Semilight" w:hAnsi="Segoe UI Semilight" w:cs="Segoe UI Semilight"/>
          <w:b/>
        </w:rPr>
        <w:t xml:space="preserve"> </w:t>
      </w:r>
      <w:r w:rsidR="00183EED" w:rsidRPr="00183EED">
        <w:rPr>
          <w:rFonts w:ascii="Segoe UI Semilight" w:hAnsi="Segoe UI Semilight" w:cs="Segoe UI Semilight"/>
        </w:rPr>
        <w:t xml:space="preserve">(po vynechaní extrému v roku 2021 z dôvodu nárastu podpory zemného plynu </w:t>
      </w:r>
      <w:r w:rsidR="00697761">
        <w:rPr>
          <w:rFonts w:ascii="Segoe UI Semilight" w:hAnsi="Segoe UI Semilight" w:cs="Segoe UI Semilight"/>
        </w:rPr>
        <w:t xml:space="preserve">prostredníctvom </w:t>
      </w:r>
      <w:r w:rsidR="00697761" w:rsidRPr="00183EED">
        <w:rPr>
          <w:rFonts w:ascii="Segoe UI Semilight" w:hAnsi="Segoe UI Semilight" w:cs="Segoe UI Semilight"/>
        </w:rPr>
        <w:t>regulovan</w:t>
      </w:r>
      <w:r w:rsidR="00697761">
        <w:rPr>
          <w:rFonts w:ascii="Segoe UI Semilight" w:hAnsi="Segoe UI Semilight" w:cs="Segoe UI Semilight"/>
        </w:rPr>
        <w:t>ých</w:t>
      </w:r>
      <w:r w:rsidR="00697761" w:rsidRPr="00183EED">
        <w:rPr>
          <w:rFonts w:ascii="Segoe UI Semilight" w:hAnsi="Segoe UI Semilight" w:cs="Segoe UI Semilight"/>
        </w:rPr>
        <w:t xml:space="preserve"> c</w:t>
      </w:r>
      <w:r w:rsidR="00697761">
        <w:rPr>
          <w:rFonts w:ascii="Segoe UI Semilight" w:hAnsi="Segoe UI Semilight" w:cs="Segoe UI Semilight"/>
        </w:rPr>
        <w:t xml:space="preserve">ien </w:t>
      </w:r>
      <w:r w:rsidR="00183EED" w:rsidRPr="00183EED">
        <w:rPr>
          <w:rFonts w:ascii="Segoe UI Semilight" w:hAnsi="Segoe UI Semilight" w:cs="Segoe UI Semilight"/>
        </w:rPr>
        <w:t>pre zraniteľných odberateľov priemerne 0,31 % ročne)</w:t>
      </w:r>
      <w:r w:rsidR="00183EED">
        <w:rPr>
          <w:rFonts w:ascii="Segoe UI Semilight" w:hAnsi="Segoe UI Semilight" w:cs="Segoe UI Semilight"/>
        </w:rPr>
        <w:t xml:space="preserve">. </w:t>
      </w:r>
      <w:r w:rsidR="0047695E">
        <w:rPr>
          <w:rFonts w:ascii="Segoe UI Semilight" w:hAnsi="Segoe UI Semilight" w:cs="Segoe UI Semilight"/>
        </w:rPr>
        <w:t xml:space="preserve">Pri vynechaní záporných hodnôt dotácií (v prípade nepriamych dotácií) sa podiel dotácií na fosílne paliva zvýši </w:t>
      </w:r>
      <w:r w:rsidR="00744FBA">
        <w:rPr>
          <w:rFonts w:ascii="Segoe UI Semilight" w:hAnsi="Segoe UI Semilight" w:cs="Segoe UI Semilight"/>
        </w:rPr>
        <w:t>priemerne o 0,07 p.b.</w:t>
      </w:r>
      <w:r w:rsidR="0047695E">
        <w:rPr>
          <w:rFonts w:ascii="Segoe UI Semilight" w:hAnsi="Segoe UI Semilight" w:cs="Segoe UI Semilight"/>
        </w:rPr>
        <w:t xml:space="preserve"> </w:t>
      </w:r>
      <w:r w:rsidR="00744FBA">
        <w:rPr>
          <w:rFonts w:ascii="Segoe UI Semilight" w:hAnsi="Segoe UI Semilight" w:cs="Segoe UI Semilight"/>
        </w:rPr>
        <w:t>ročne</w:t>
      </w:r>
      <w:r w:rsidR="0047695E">
        <w:rPr>
          <w:rFonts w:ascii="Segoe UI Semilight" w:hAnsi="Segoe UI Semilight" w:cs="Segoe UI Semilight"/>
        </w:rPr>
        <w:t xml:space="preserve">. </w:t>
      </w:r>
      <w:r w:rsidR="00183EED">
        <w:rPr>
          <w:rFonts w:ascii="Segoe UI Semilight" w:hAnsi="Segoe UI Semilight" w:cs="Segoe UI Semilight"/>
        </w:rPr>
        <w:t>P</w:t>
      </w:r>
      <w:r>
        <w:rPr>
          <w:rFonts w:ascii="Segoe UI Semilight" w:hAnsi="Segoe UI Semilight" w:cs="Segoe UI Semilight"/>
        </w:rPr>
        <w:t xml:space="preserve">odiel </w:t>
      </w:r>
      <w:r w:rsidR="00183EED">
        <w:rPr>
          <w:rFonts w:ascii="Segoe UI Semilight" w:hAnsi="Segoe UI Semilight" w:cs="Segoe UI Semilight"/>
        </w:rPr>
        <w:t xml:space="preserve">priamych dotácií a daňových výdavkov </w:t>
      </w:r>
      <w:r>
        <w:rPr>
          <w:rFonts w:ascii="Segoe UI Semilight" w:hAnsi="Segoe UI Semilight" w:cs="Segoe UI Semilight"/>
        </w:rPr>
        <w:t>na v</w:t>
      </w:r>
      <w:r w:rsidR="0015612C">
        <w:rPr>
          <w:rFonts w:ascii="Segoe UI Semilight" w:hAnsi="Segoe UI Semilight" w:cs="Segoe UI Semilight"/>
        </w:rPr>
        <w:t>er</w:t>
      </w:r>
      <w:r w:rsidR="00CF247D">
        <w:rPr>
          <w:rFonts w:ascii="Segoe UI Semilight" w:hAnsi="Segoe UI Semilight" w:cs="Segoe UI Semilight"/>
        </w:rPr>
        <w:t xml:space="preserve">ejných </w:t>
      </w:r>
      <w:r w:rsidR="00CF247D">
        <w:rPr>
          <w:rFonts w:ascii="Segoe UI Semilight" w:hAnsi="Segoe UI Semilight" w:cs="Segoe UI Semilight"/>
        </w:rPr>
        <w:lastRenderedPageBreak/>
        <w:t xml:space="preserve">výdavkoch </w:t>
      </w:r>
      <w:r w:rsidR="00CB03CC">
        <w:rPr>
          <w:rFonts w:ascii="Segoe UI Semilight" w:hAnsi="Segoe UI Semilight" w:cs="Segoe UI Semilight"/>
        </w:rPr>
        <w:t xml:space="preserve">predstavoval </w:t>
      </w:r>
      <w:r w:rsidR="0077719A">
        <w:rPr>
          <w:rFonts w:ascii="Segoe UI Semilight" w:hAnsi="Segoe UI Semilight" w:cs="Segoe UI Semilight"/>
        </w:rPr>
        <w:t>1,70</w:t>
      </w:r>
      <w:r>
        <w:rPr>
          <w:rFonts w:ascii="Segoe UI Semilight" w:hAnsi="Segoe UI Semilight" w:cs="Segoe UI Semilight"/>
        </w:rPr>
        <w:t xml:space="preserve"> %</w:t>
      </w:r>
      <w:r w:rsidR="0077719A">
        <w:rPr>
          <w:rStyle w:val="Odkaznapoznmkupodiarou"/>
          <w:rFonts w:ascii="Segoe UI Semilight" w:hAnsi="Segoe UI Semilight" w:cs="Segoe UI Semilight"/>
        </w:rPr>
        <w:footnoteReference w:id="4"/>
      </w:r>
      <w:r w:rsidR="0077719A">
        <w:rPr>
          <w:rFonts w:ascii="Segoe UI Semilight" w:hAnsi="Segoe UI Semilight" w:cs="Segoe UI Semilight"/>
        </w:rPr>
        <w:t xml:space="preserve">. </w:t>
      </w:r>
      <w:r>
        <w:rPr>
          <w:rFonts w:ascii="Segoe UI Semilight" w:hAnsi="Segoe UI Semilight" w:cs="Segoe UI Semilight"/>
        </w:rPr>
        <w:t>V</w:t>
      </w:r>
      <w:r w:rsidR="00A22DAD">
        <w:rPr>
          <w:rFonts w:ascii="Segoe UI Semilight" w:hAnsi="Segoe UI Semilight" w:cs="Segoe UI Semilight"/>
        </w:rPr>
        <w:t xml:space="preserve"> uvedenom </w:t>
      </w:r>
      <w:r>
        <w:rPr>
          <w:rFonts w:ascii="Segoe UI Semilight" w:hAnsi="Segoe UI Semilight" w:cs="Segoe UI Semilight"/>
        </w:rPr>
        <w:t xml:space="preserve">časovom </w:t>
      </w:r>
      <w:r w:rsidRPr="00234FCF">
        <w:rPr>
          <w:rFonts w:ascii="Segoe UI Semilight" w:hAnsi="Segoe UI Semilight" w:cs="Segoe UI Semilight"/>
        </w:rPr>
        <w:t>úseku</w:t>
      </w:r>
      <w:r>
        <w:rPr>
          <w:rFonts w:ascii="Segoe UI Semilight" w:hAnsi="Segoe UI Semilight" w:cs="Segoe UI Semilight"/>
          <w:color w:val="FF0000"/>
        </w:rPr>
        <w:t xml:space="preserve"> </w:t>
      </w:r>
      <w:r>
        <w:rPr>
          <w:rFonts w:ascii="Segoe UI Semilight" w:hAnsi="Segoe UI Semilight" w:cs="Segoe UI Semilight"/>
        </w:rPr>
        <w:t>bol</w:t>
      </w:r>
      <w:r w:rsidR="00A22DAD">
        <w:rPr>
          <w:rFonts w:ascii="Segoe UI Semilight" w:hAnsi="Segoe UI Semilight" w:cs="Segoe UI Semilight"/>
        </w:rPr>
        <w:t xml:space="preserve"> zaznamenaný</w:t>
      </w:r>
      <w:r w:rsidR="00933310">
        <w:rPr>
          <w:rFonts w:ascii="Segoe UI Semilight" w:hAnsi="Segoe UI Semilight" w:cs="Segoe UI Semilight"/>
        </w:rPr>
        <w:t xml:space="preserve"> fluktuujúci trend. Príčinou</w:t>
      </w:r>
      <w:r w:rsidR="00C77264">
        <w:rPr>
          <w:rFonts w:ascii="Segoe UI Semilight" w:hAnsi="Segoe UI Semilight" w:cs="Segoe UI Semilight"/>
        </w:rPr>
        <w:t xml:space="preserve"> tohto trendu</w:t>
      </w:r>
      <w:r w:rsidR="00933310">
        <w:rPr>
          <w:rFonts w:ascii="Segoe UI Semilight" w:hAnsi="Segoe UI Semilight" w:cs="Segoe UI Semilight"/>
        </w:rPr>
        <w:t xml:space="preserve"> bola</w:t>
      </w:r>
      <w:r>
        <w:rPr>
          <w:rFonts w:ascii="Segoe UI Semilight" w:hAnsi="Segoe UI Semilight" w:cs="Segoe UI Semilight"/>
        </w:rPr>
        <w:t xml:space="preserve"> napr. </w:t>
      </w:r>
      <w:proofErr w:type="spellStart"/>
      <w:r w:rsidR="00E11F8B">
        <w:rPr>
          <w:rFonts w:ascii="Segoe UI Semilight" w:hAnsi="Segoe UI Semilight" w:cs="Segoe UI Semilight"/>
        </w:rPr>
        <w:t>jednorázová</w:t>
      </w:r>
      <w:proofErr w:type="spellEnd"/>
      <w:r w:rsidR="00E11F8B">
        <w:rPr>
          <w:rFonts w:ascii="Segoe UI Semilight" w:hAnsi="Segoe UI Semilight" w:cs="Segoe UI Semilight"/>
        </w:rPr>
        <w:t xml:space="preserve"> </w:t>
      </w:r>
      <w:r>
        <w:rPr>
          <w:rFonts w:ascii="Segoe UI Semilight" w:hAnsi="Segoe UI Semilight" w:cs="Segoe UI Semilight"/>
        </w:rPr>
        <w:t>pomoc (vratky za plyn), či zmena legislatívy (napr. podpora podnikov zníženou, resp. ind</w:t>
      </w:r>
      <w:r w:rsidR="00BD1A0B">
        <w:rPr>
          <w:rFonts w:ascii="Segoe UI Semilight" w:hAnsi="Segoe UI Semilight" w:cs="Segoe UI Semilight"/>
        </w:rPr>
        <w:t>ividuálnou sadzbou TPS a TSS).</w:t>
      </w:r>
    </w:p>
    <w:p w14:paraId="3BA28FF5" w14:textId="714B16BB" w:rsidR="00B322AB" w:rsidRDefault="00B322AB" w:rsidP="001313AF">
      <w:pPr>
        <w:pStyle w:val="Popis"/>
        <w:keepNext/>
        <w:spacing w:before="120" w:after="0"/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</w:pPr>
      <w:r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t xml:space="preserve">Graf </w:t>
      </w:r>
      <w:r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fldChar w:fldCharType="begin"/>
      </w:r>
      <w:r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instrText xml:space="preserve"> SEQ Graf \* ARABIC </w:instrText>
      </w:r>
      <w:r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fldChar w:fldCharType="separate"/>
      </w:r>
      <w:r w:rsidR="00C2142A">
        <w:rPr>
          <w:rFonts w:ascii="Segoe UI Semilight" w:hAnsi="Segoe UI Semilight" w:cs="Segoe UI Semilight"/>
          <w:b/>
          <w:i w:val="0"/>
          <w:noProof/>
          <w:color w:val="0070C0"/>
          <w:sz w:val="22"/>
          <w:szCs w:val="22"/>
        </w:rPr>
        <w:t>1</w:t>
      </w:r>
      <w:r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fldChar w:fldCharType="end"/>
      </w:r>
      <w:r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t>: Dotácie na fosílne palivá na Sloven</w:t>
      </w:r>
      <w:r w:rsidR="005D56EE"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t>s</w:t>
      </w:r>
      <w:r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t>ku</w:t>
      </w:r>
      <w:r w:rsidR="00DE01DD"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t xml:space="preserve"> (</w:t>
      </w:r>
      <w:r w:rsidR="000E4F1A"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t>v </w:t>
      </w:r>
      <w:r w:rsidR="00DE01DD"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t>mil. eur)</w:t>
      </w:r>
    </w:p>
    <w:tbl>
      <w:tblPr>
        <w:tblStyle w:val="Mriekatabuky"/>
        <w:tblW w:w="9350" w:type="dxa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6B21C1" w14:paraId="1875781B" w14:textId="77777777" w:rsidTr="00C1432A">
        <w:trPr>
          <w:trHeight w:val="2721"/>
        </w:trPr>
        <w:tc>
          <w:tcPr>
            <w:tcW w:w="4675" w:type="dxa"/>
          </w:tcPr>
          <w:p w14:paraId="05127205" w14:textId="537C0EBB" w:rsidR="00DE01DD" w:rsidRDefault="00C1432A" w:rsidP="00B322AB">
            <w:pPr>
              <w:rPr>
                <w:rStyle w:val="Odkaznakomentr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453CCAB7" wp14:editId="4B25E3C8">
                  <wp:extent cx="2880000" cy="1980000"/>
                  <wp:effectExtent l="0" t="0" r="0" b="1270"/>
                  <wp:docPr id="2" name="Graf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2FACEFBA" w14:textId="3333B511" w:rsidR="00DE01DD" w:rsidRDefault="000C4E93" w:rsidP="00B322AB">
            <w:pPr>
              <w:rPr>
                <w:rStyle w:val="Odkaznakomentr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61B61315" wp14:editId="7C38239F">
                  <wp:extent cx="2880000" cy="1980000"/>
                  <wp:effectExtent l="0" t="0" r="0" b="1270"/>
                  <wp:docPr id="10" name="Graf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834468" w14:paraId="2F9099F7" w14:textId="77777777" w:rsidTr="00834468">
        <w:trPr>
          <w:trHeight w:val="2721"/>
        </w:trPr>
        <w:tc>
          <w:tcPr>
            <w:tcW w:w="9350" w:type="dxa"/>
            <w:gridSpan w:val="2"/>
          </w:tcPr>
          <w:p w14:paraId="24BE31FE" w14:textId="7E524643" w:rsidR="00834468" w:rsidRPr="00CF247D" w:rsidRDefault="00834468" w:rsidP="00B322AB">
            <w:pPr>
              <w:rPr>
                <w:rStyle w:val="Odkaznakomentr"/>
                <w:noProof/>
                <w:lang w:eastAsia="sk-SK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355E8189" wp14:editId="79079F8A">
                  <wp:extent cx="5760720" cy="2743200"/>
                  <wp:effectExtent l="0" t="0" r="0" b="0"/>
                  <wp:docPr id="6" name="Graf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14:paraId="5A1685E4" w14:textId="3F5C89A9" w:rsidR="004142EE" w:rsidRPr="00425D01" w:rsidRDefault="004142EE" w:rsidP="00425D01">
      <w:pPr>
        <w:pStyle w:val="Popis"/>
        <w:spacing w:after="0"/>
        <w:jc w:val="left"/>
        <w:rPr>
          <w:rFonts w:ascii="Segoe UI Semilight" w:hAnsi="Segoe UI Semilight" w:cs="Segoe UI Semilight"/>
          <w:iCs w:val="0"/>
          <w:color w:val="auto"/>
          <w:sz w:val="14"/>
        </w:rPr>
      </w:pPr>
      <w:r w:rsidRPr="00425D01">
        <w:rPr>
          <w:rFonts w:ascii="Segoe UI Semilight" w:hAnsi="Segoe UI Semilight" w:cs="Segoe UI Semilight"/>
          <w:iCs w:val="0"/>
          <w:color w:val="auto"/>
          <w:sz w:val="14"/>
        </w:rPr>
        <w:t>Pozn.: Horné grafy znázorňujú rozdelenie dotácií na fosílne palivá podľa smerovania (vľavo) a podľa paliva (vpravo); graf nižšie je ich spojením.</w:t>
      </w:r>
    </w:p>
    <w:p w14:paraId="7E808FB3" w14:textId="75E12A09" w:rsidR="007207C1" w:rsidRPr="007207C1" w:rsidRDefault="0034379B" w:rsidP="00425D01">
      <w:pPr>
        <w:pStyle w:val="Popis"/>
        <w:spacing w:after="0"/>
        <w:jc w:val="right"/>
        <w:rPr>
          <w:rFonts w:ascii="Segoe UI Semilight" w:hAnsi="Segoe UI Semilight" w:cs="Segoe UI Semilight"/>
        </w:rPr>
      </w:pPr>
      <w:r w:rsidRPr="0034379B">
        <w:rPr>
          <w:rFonts w:ascii="Segoe UI Semilight" w:hAnsi="Segoe UI Semilight" w:cs="Segoe UI Semilight"/>
          <w:iCs w:val="0"/>
          <w:color w:val="auto"/>
          <w:sz w:val="22"/>
          <w:szCs w:val="22"/>
        </w:rPr>
        <w:t>Zdroj:</w:t>
      </w:r>
      <w:r>
        <w:rPr>
          <w:i w:val="0"/>
          <w:iCs w:val="0"/>
          <w:color w:val="auto"/>
          <w:sz w:val="22"/>
          <w:szCs w:val="22"/>
        </w:rPr>
        <w:t xml:space="preserve"> </w:t>
      </w:r>
      <w:r w:rsidR="00B322AB">
        <w:rPr>
          <w:rFonts w:ascii="Segoe UI Semilight" w:hAnsi="Segoe UI Semilight" w:cs="Segoe UI Semilight"/>
          <w:iCs w:val="0"/>
          <w:color w:val="auto"/>
          <w:sz w:val="22"/>
          <w:szCs w:val="22"/>
        </w:rPr>
        <w:t>Vlastné spracovanie IHA</w:t>
      </w:r>
      <w:r w:rsidR="00B322AB">
        <w:rPr>
          <w:rFonts w:ascii="Segoe UI Semilight" w:hAnsi="Segoe UI Semilight" w:cs="Segoe UI Semiligh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848C9">
        <w:rPr>
          <w:rFonts w:ascii="Segoe UI Semilight" w:hAnsi="Segoe UI Semilight" w:cs="Segoe UI Semiligh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8D5E72" w14:textId="2292DE52" w:rsidR="00FD12C0" w:rsidRDefault="00FD12C0" w:rsidP="001313AF">
      <w:pPr>
        <w:pStyle w:val="Nadpis2"/>
        <w:spacing w:before="240"/>
      </w:pPr>
      <w:bookmarkStart w:id="6" w:name="_Toc121990623"/>
      <w:bookmarkStart w:id="7" w:name="_Toc121993846"/>
      <w:r w:rsidRPr="00FD12C0">
        <w:t>Priame dotácie na fosílne palivá v</w:t>
      </w:r>
      <w:r w:rsidR="00B322AB">
        <w:t> </w:t>
      </w:r>
      <w:r w:rsidRPr="00FD12C0">
        <w:t>SR</w:t>
      </w:r>
      <w:bookmarkEnd w:id="6"/>
      <w:bookmarkEnd w:id="7"/>
    </w:p>
    <w:p w14:paraId="31BA13CA" w14:textId="77777777" w:rsidR="00D5079D" w:rsidRDefault="00B322AB" w:rsidP="00B322AB">
      <w:pPr>
        <w:spacing w:after="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  <w:b/>
        </w:rPr>
        <w:t>Priame transfery</w:t>
      </w:r>
      <w:r>
        <w:rPr>
          <w:rFonts w:ascii="Segoe UI Semilight" w:hAnsi="Segoe UI Semilight" w:cs="Segoe UI Semilight"/>
        </w:rPr>
        <w:t xml:space="preserve"> </w:t>
      </w:r>
      <w:r w:rsidR="00CB03CC">
        <w:rPr>
          <w:rFonts w:ascii="Segoe UI Semilight" w:hAnsi="Segoe UI Semilight" w:cs="Segoe UI Semilight"/>
          <w:b/>
        </w:rPr>
        <w:t>predstavujú</w:t>
      </w:r>
      <w:r>
        <w:rPr>
          <w:rFonts w:ascii="Segoe UI Semilight" w:hAnsi="Segoe UI Semilight" w:cs="Segoe UI Semilight"/>
          <w:b/>
        </w:rPr>
        <w:t xml:space="preserve"> štátne dotácie na výrobky a iné dotácie na výrobu, pričom sa </w:t>
      </w:r>
      <w:r w:rsidR="00CB03CC">
        <w:rPr>
          <w:rFonts w:ascii="Segoe UI Semilight" w:hAnsi="Segoe UI Semilight" w:cs="Segoe UI Semilight"/>
          <w:b/>
        </w:rPr>
        <w:t xml:space="preserve">zameriavajú </w:t>
      </w:r>
      <w:r>
        <w:rPr>
          <w:rFonts w:ascii="Segoe UI Semilight" w:hAnsi="Segoe UI Semilight" w:cs="Segoe UI Semilight"/>
          <w:b/>
        </w:rPr>
        <w:t>na spoločnosti vyrábajúce alebo transformujúce energie použitím fosílnych zdrojov</w:t>
      </w:r>
      <w:r>
        <w:rPr>
          <w:rFonts w:ascii="Segoe UI Semilight" w:hAnsi="Segoe UI Semilight" w:cs="Segoe UI Semilight"/>
        </w:rPr>
        <w:t>. Priame dotácie suverénne za celé sledované obdobie rokov 2011 – 2021 najviac smerovali na podporu výroby elektrickej energie z h</w:t>
      </w:r>
      <w:r w:rsidR="0015612C">
        <w:rPr>
          <w:rFonts w:ascii="Segoe UI Semilight" w:hAnsi="Segoe UI Semilight" w:cs="Segoe UI Semilight"/>
        </w:rPr>
        <w:t>nedého uhlia (76,5</w:t>
      </w:r>
      <w:r>
        <w:rPr>
          <w:rFonts w:ascii="Segoe UI Semilight" w:hAnsi="Segoe UI Semilight" w:cs="Segoe UI Semilight"/>
        </w:rPr>
        <w:t xml:space="preserve"> % z celkového objemu priamej podpory).</w:t>
      </w:r>
    </w:p>
    <w:p w14:paraId="40F2351B" w14:textId="611CF99F" w:rsidR="00B322AB" w:rsidRDefault="00B322AB" w:rsidP="001313AF">
      <w:pPr>
        <w:pStyle w:val="Popis"/>
        <w:keepNext/>
        <w:spacing w:before="120" w:after="0"/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</w:pPr>
      <w:r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lastRenderedPageBreak/>
        <w:t xml:space="preserve">Graf </w:t>
      </w:r>
      <w:r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fldChar w:fldCharType="begin"/>
      </w:r>
      <w:r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instrText xml:space="preserve"> SEQ Graf \* ARABIC </w:instrText>
      </w:r>
      <w:r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fldChar w:fldCharType="separate"/>
      </w:r>
      <w:r w:rsidR="00C2142A">
        <w:rPr>
          <w:rFonts w:ascii="Segoe UI Semilight" w:hAnsi="Segoe UI Semilight" w:cs="Segoe UI Semilight"/>
          <w:b/>
          <w:i w:val="0"/>
          <w:noProof/>
          <w:color w:val="0070C0"/>
          <w:sz w:val="22"/>
          <w:szCs w:val="22"/>
        </w:rPr>
        <w:t>2</w:t>
      </w:r>
      <w:r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fldChar w:fldCharType="end"/>
      </w:r>
      <w:r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t>: Vývoj priamych dotácií (</w:t>
      </w:r>
      <w:r w:rsidR="000E4F1A"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t>v </w:t>
      </w:r>
      <w:r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t>mil. eur)</w:t>
      </w:r>
    </w:p>
    <w:tbl>
      <w:tblPr>
        <w:tblStyle w:val="Mriekatabuky"/>
        <w:tblW w:w="0" w:type="auto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8"/>
        <w:gridCol w:w="4674"/>
      </w:tblGrid>
      <w:tr w:rsidR="0034379B" w14:paraId="02313D68" w14:textId="77777777" w:rsidTr="00007CB0">
        <w:tc>
          <w:tcPr>
            <w:tcW w:w="4700" w:type="dxa"/>
          </w:tcPr>
          <w:p w14:paraId="3F24AAD1" w14:textId="0379232B" w:rsidR="0034379B" w:rsidRDefault="00007CB0" w:rsidP="007B3A3F">
            <w:pPr>
              <w:rPr>
                <w:rStyle w:val="Odkaznakomentr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5946E889" wp14:editId="30DA1900">
                  <wp:extent cx="2880000" cy="1756800"/>
                  <wp:effectExtent l="0" t="0" r="0" b="0"/>
                  <wp:docPr id="11" name="Graf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4372" w:type="dxa"/>
          </w:tcPr>
          <w:p w14:paraId="7CB9E272" w14:textId="3B3ECD75" w:rsidR="0034379B" w:rsidRDefault="00007CB0" w:rsidP="007B3A3F">
            <w:pPr>
              <w:rPr>
                <w:rStyle w:val="Odkaznakomentr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735CC2D7" wp14:editId="28EACE72">
                  <wp:extent cx="3060700" cy="1756410"/>
                  <wp:effectExtent l="0" t="0" r="6350" b="0"/>
                  <wp:docPr id="16" name="Graf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14:paraId="22A8CD1C" w14:textId="6CA1BE3C" w:rsidR="00D21AFC" w:rsidRPr="00D21AFC" w:rsidRDefault="00B322AB" w:rsidP="00D21AFC">
      <w:pPr>
        <w:pStyle w:val="Popis"/>
        <w:jc w:val="right"/>
        <w:rPr>
          <w:rFonts w:ascii="Segoe UI Semilight" w:hAnsi="Segoe UI Semilight" w:cs="Segoe UI Semilight"/>
          <w:iCs w:val="0"/>
          <w:color w:val="auto"/>
          <w:sz w:val="22"/>
          <w:szCs w:val="22"/>
        </w:rPr>
      </w:pPr>
      <w:r>
        <w:rPr>
          <w:rFonts w:ascii="Segoe UI Semilight" w:hAnsi="Segoe UI Semilight" w:cs="Segoe UI Semilight"/>
          <w:iCs w:val="0"/>
          <w:color w:val="auto"/>
          <w:sz w:val="22"/>
          <w:szCs w:val="22"/>
        </w:rPr>
        <w:t>Zdroj: Výpočty IHA na základe dát MH SR a Environmentálneho fondu</w:t>
      </w:r>
    </w:p>
    <w:p w14:paraId="202F7BAF" w14:textId="5D82C620" w:rsidR="00F139F5" w:rsidRDefault="00F139F5" w:rsidP="00B322AB">
      <w:pPr>
        <w:spacing w:after="0"/>
        <w:rPr>
          <w:rFonts w:ascii="Segoe UI Semilight" w:hAnsi="Segoe UI Semilight" w:cs="Segoe UI Semilight"/>
          <w:b/>
        </w:rPr>
      </w:pP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215819" wp14:editId="6699B0FA">
                <wp:simplePos x="0" y="0"/>
                <wp:positionH relativeFrom="margin">
                  <wp:posOffset>541655</wp:posOffset>
                </wp:positionH>
                <wp:positionV relativeFrom="paragraph">
                  <wp:posOffset>165735</wp:posOffset>
                </wp:positionV>
                <wp:extent cx="4635500" cy="2139950"/>
                <wp:effectExtent l="0" t="0" r="12700" b="12700"/>
                <wp:wrapSquare wrapText="bothSides"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2139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75346" w14:textId="60621562" w:rsidR="00270E7B" w:rsidRDefault="00270E7B" w:rsidP="001313AF">
                            <w:pPr>
                              <w:pStyle w:val="Popis"/>
                              <w:spacing w:after="0"/>
                              <w:rPr>
                                <w:rFonts w:ascii="Segoe UI Semilight" w:hAnsi="Segoe UI Semilight" w:cs="Segoe UI Semilight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b/>
                                <w:color w:val="auto"/>
                                <w:sz w:val="22"/>
                                <w:szCs w:val="22"/>
                              </w:rPr>
                              <w:t>Box 1 – Fáza</w:t>
                            </w:r>
                            <w:r w:rsidRPr="00B322AB">
                              <w:rPr>
                                <w:rFonts w:ascii="Segoe UI Semilight" w:hAnsi="Segoe UI Semilight" w:cs="Segoe UI Semilight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podpory</w:t>
                            </w:r>
                          </w:p>
                          <w:p w14:paraId="3C728217" w14:textId="3983BA79" w:rsidR="00270E7B" w:rsidRDefault="00270E7B" w:rsidP="00055E5D">
                            <w:pPr>
                              <w:spacing w:after="0"/>
                              <w:rPr>
                                <w:rFonts w:ascii="Segoe UI Semilight" w:hAnsi="Segoe UI Semilight" w:cs="Segoe UI Semilight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</w:rPr>
                              <w:t>Smerovanie podpory je rozdelené do niekoľkých kategórií v súlade s odporučeniami OSN pri vyhodnocovaní jednotlivých druhov dotácií na fosílne palivá. Rozlišujú sa základné stupne výroby a spotreby:</w:t>
                            </w:r>
                          </w:p>
                          <w:p w14:paraId="0FF58825" w14:textId="05ABACF3" w:rsidR="00270E7B" w:rsidRDefault="00270E7B" w:rsidP="00055E5D">
                            <w:pPr>
                              <w:pStyle w:val="Odsekzoznamu"/>
                              <w:numPr>
                                <w:ilvl w:val="0"/>
                                <w:numId w:val="31"/>
                              </w:numPr>
                              <w:spacing w:after="0"/>
                              <w:ind w:left="714" w:hanging="357"/>
                              <w:rPr>
                                <w:rFonts w:ascii="Segoe UI Semilight" w:hAnsi="Segoe UI Semilight" w:cs="Segoe UI Semilight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</w:rPr>
                              <w:t>ťažba a dobývanie;</w:t>
                            </w:r>
                          </w:p>
                          <w:p w14:paraId="5974BA79" w14:textId="6AEC600C" w:rsidR="00270E7B" w:rsidRDefault="00270E7B" w:rsidP="00055E5D">
                            <w:pPr>
                              <w:pStyle w:val="Odsekzoznamu"/>
                              <w:numPr>
                                <w:ilvl w:val="0"/>
                                <w:numId w:val="31"/>
                              </w:numPr>
                              <w:spacing w:after="0"/>
                              <w:ind w:left="714" w:hanging="357"/>
                              <w:rPr>
                                <w:rFonts w:ascii="Segoe UI Semilight" w:hAnsi="Segoe UI Semilight" w:cs="Segoe UI Semilight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</w:rPr>
                              <w:t>preprava fosílneho paliva a jeho uskladňovanie;</w:t>
                            </w:r>
                          </w:p>
                          <w:p w14:paraId="6E229549" w14:textId="4A88B625" w:rsidR="00270E7B" w:rsidRDefault="00270E7B" w:rsidP="00055E5D">
                            <w:pPr>
                              <w:pStyle w:val="Odsekzoznamu"/>
                              <w:numPr>
                                <w:ilvl w:val="0"/>
                                <w:numId w:val="31"/>
                              </w:numPr>
                              <w:spacing w:after="0"/>
                              <w:ind w:left="714" w:hanging="357"/>
                              <w:rPr>
                                <w:rFonts w:ascii="Segoe UI Semilight" w:hAnsi="Segoe UI Semilight" w:cs="Segoe UI Semilight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</w:rPr>
                              <w:t>rafinácia a spracovanie;</w:t>
                            </w:r>
                          </w:p>
                          <w:p w14:paraId="3FC60FD9" w14:textId="4830E803" w:rsidR="00270E7B" w:rsidRDefault="00270E7B" w:rsidP="00055E5D">
                            <w:pPr>
                              <w:pStyle w:val="Odsekzoznamu"/>
                              <w:numPr>
                                <w:ilvl w:val="0"/>
                                <w:numId w:val="31"/>
                              </w:numPr>
                              <w:spacing w:after="0"/>
                              <w:ind w:left="714" w:hanging="357"/>
                              <w:rPr>
                                <w:rFonts w:ascii="Segoe UI Semilight" w:hAnsi="Segoe UI Semilight" w:cs="Segoe UI Semilight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</w:rPr>
                              <w:t>využitie fosílnych palív pri výrobe elektriny;</w:t>
                            </w:r>
                          </w:p>
                          <w:p w14:paraId="2C5ADB43" w14:textId="2F5F9BD6" w:rsidR="00270E7B" w:rsidRDefault="00270E7B" w:rsidP="00055E5D">
                            <w:pPr>
                              <w:pStyle w:val="Odsekzoznamu"/>
                              <w:numPr>
                                <w:ilvl w:val="0"/>
                                <w:numId w:val="31"/>
                              </w:numPr>
                              <w:spacing w:after="0"/>
                              <w:ind w:left="714" w:hanging="357"/>
                              <w:rPr>
                                <w:rFonts w:ascii="Segoe UI Semilight" w:hAnsi="Segoe UI Semilight" w:cs="Segoe UI Semilight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</w:rPr>
                              <w:t>využitie fosílnych palív v priemysle;</w:t>
                            </w:r>
                          </w:p>
                          <w:p w14:paraId="349A749B" w14:textId="4265E986" w:rsidR="00270E7B" w:rsidRDefault="00270E7B" w:rsidP="00055E5D">
                            <w:pPr>
                              <w:pStyle w:val="Odsekzoznamu"/>
                              <w:numPr>
                                <w:ilvl w:val="0"/>
                                <w:numId w:val="31"/>
                              </w:numPr>
                              <w:spacing w:after="0"/>
                              <w:ind w:left="714" w:hanging="357"/>
                              <w:rPr>
                                <w:rFonts w:ascii="Segoe UI Semilight" w:hAnsi="Segoe UI Semilight" w:cs="Segoe UI Semilight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</w:rPr>
                              <w:t>iné konečné použitie fosílnych palív (napr. doprava či domácnosti).</w:t>
                            </w:r>
                          </w:p>
                          <w:p w14:paraId="24781AED" w14:textId="77777777" w:rsidR="00270E7B" w:rsidRDefault="00270E7B" w:rsidP="00B322AB">
                            <w:pPr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15819" id="Textové pole 9" o:spid="_x0000_s1028" type="#_x0000_t202" style="position:absolute;left:0;text-align:left;margin-left:42.65pt;margin-top:13.05pt;width:365pt;height:16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" fillcolor="#deeaf6 [660]">
                <v:textbox>
                  <w:txbxContent>
                    <w:p w14:paraId="63E75346" w14:textId="60621562" w:rsidR="00270E7B" w:rsidRDefault="00270E7B" w:rsidP="001313AF">
                      <w:pPr>
                        <w:pStyle w:val="Popis"/>
                        <w:spacing w:after="0"/>
                        <w:rPr>
                          <w:rFonts w:ascii="Segoe UI Semilight" w:hAnsi="Segoe UI Semilight" w:cs="Segoe UI Semilight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b/>
                          <w:color w:val="auto"/>
                          <w:sz w:val="22"/>
                          <w:szCs w:val="22"/>
                        </w:rPr>
                        <w:t>Box 1 – Fáza</w:t>
                      </w:r>
                      <w:r w:rsidRPr="00B322AB">
                        <w:rPr>
                          <w:rFonts w:ascii="Segoe UI Semilight" w:hAnsi="Segoe UI Semilight" w:cs="Segoe UI Semilight"/>
                          <w:b/>
                          <w:color w:val="auto"/>
                          <w:sz w:val="22"/>
                          <w:szCs w:val="22"/>
                        </w:rPr>
                        <w:t xml:space="preserve"> podpory</w:t>
                      </w:r>
                    </w:p>
                    <w:p w14:paraId="3C728217" w14:textId="3983BA79" w:rsidR="00270E7B" w:rsidRDefault="00270E7B" w:rsidP="00055E5D">
                      <w:pPr>
                        <w:spacing w:after="0"/>
                        <w:rPr>
                          <w:rFonts w:ascii="Segoe UI Semilight" w:hAnsi="Segoe UI Semilight" w:cs="Segoe UI Semilight"/>
                        </w:rPr>
                      </w:pPr>
                      <w:r>
                        <w:rPr>
                          <w:rFonts w:ascii="Segoe UI Semilight" w:hAnsi="Segoe UI Semilight" w:cs="Segoe UI Semilight"/>
                        </w:rPr>
                        <w:t>Smerovanie podpory je rozdelené do niekoľkých kategórií v súlade s odporučeniami OSN pri vyhodnocovaní jednotlivých druhov dotácií na fosílne palivá. Rozlišujú sa základné stupne výroby a spotreby:</w:t>
                      </w:r>
                    </w:p>
                    <w:p w14:paraId="0FF58825" w14:textId="05ABACF3" w:rsidR="00270E7B" w:rsidRDefault="00270E7B" w:rsidP="00055E5D">
                      <w:pPr>
                        <w:pStyle w:val="Odsekzoznamu"/>
                        <w:numPr>
                          <w:ilvl w:val="0"/>
                          <w:numId w:val="31"/>
                        </w:numPr>
                        <w:spacing w:after="0"/>
                        <w:ind w:left="714" w:hanging="357"/>
                        <w:rPr>
                          <w:rFonts w:ascii="Segoe UI Semilight" w:hAnsi="Segoe UI Semilight" w:cs="Segoe UI Semilight"/>
                        </w:rPr>
                      </w:pPr>
                      <w:r>
                        <w:rPr>
                          <w:rFonts w:ascii="Segoe UI Semilight" w:hAnsi="Segoe UI Semilight" w:cs="Segoe UI Semilight"/>
                        </w:rPr>
                        <w:t>ťažba a dobývanie;</w:t>
                      </w:r>
                    </w:p>
                    <w:p w14:paraId="5974BA79" w14:textId="6AEC600C" w:rsidR="00270E7B" w:rsidRDefault="00270E7B" w:rsidP="00055E5D">
                      <w:pPr>
                        <w:pStyle w:val="Odsekzoznamu"/>
                        <w:numPr>
                          <w:ilvl w:val="0"/>
                          <w:numId w:val="31"/>
                        </w:numPr>
                        <w:spacing w:after="0"/>
                        <w:ind w:left="714" w:hanging="357"/>
                        <w:rPr>
                          <w:rFonts w:ascii="Segoe UI Semilight" w:hAnsi="Segoe UI Semilight" w:cs="Segoe UI Semilight"/>
                        </w:rPr>
                      </w:pPr>
                      <w:r>
                        <w:rPr>
                          <w:rFonts w:ascii="Segoe UI Semilight" w:hAnsi="Segoe UI Semilight" w:cs="Segoe UI Semilight"/>
                        </w:rPr>
                        <w:t>preprava fosílneho paliva a jeho uskladňovanie;</w:t>
                      </w:r>
                    </w:p>
                    <w:p w14:paraId="6E229549" w14:textId="4A88B625" w:rsidR="00270E7B" w:rsidRDefault="00270E7B" w:rsidP="00055E5D">
                      <w:pPr>
                        <w:pStyle w:val="Odsekzoznamu"/>
                        <w:numPr>
                          <w:ilvl w:val="0"/>
                          <w:numId w:val="31"/>
                        </w:numPr>
                        <w:spacing w:after="0"/>
                        <w:ind w:left="714" w:hanging="357"/>
                        <w:rPr>
                          <w:rFonts w:ascii="Segoe UI Semilight" w:hAnsi="Segoe UI Semilight" w:cs="Segoe UI Semilight"/>
                        </w:rPr>
                      </w:pPr>
                      <w:r>
                        <w:rPr>
                          <w:rFonts w:ascii="Segoe UI Semilight" w:hAnsi="Segoe UI Semilight" w:cs="Segoe UI Semilight"/>
                        </w:rPr>
                        <w:t>rafinácia a spracovanie;</w:t>
                      </w:r>
                    </w:p>
                    <w:p w14:paraId="3FC60FD9" w14:textId="4830E803" w:rsidR="00270E7B" w:rsidRDefault="00270E7B" w:rsidP="00055E5D">
                      <w:pPr>
                        <w:pStyle w:val="Odsekzoznamu"/>
                        <w:numPr>
                          <w:ilvl w:val="0"/>
                          <w:numId w:val="31"/>
                        </w:numPr>
                        <w:spacing w:after="0"/>
                        <w:ind w:left="714" w:hanging="357"/>
                        <w:rPr>
                          <w:rFonts w:ascii="Segoe UI Semilight" w:hAnsi="Segoe UI Semilight" w:cs="Segoe UI Semilight"/>
                        </w:rPr>
                      </w:pPr>
                      <w:r>
                        <w:rPr>
                          <w:rFonts w:ascii="Segoe UI Semilight" w:hAnsi="Segoe UI Semilight" w:cs="Segoe UI Semilight"/>
                        </w:rPr>
                        <w:t>využitie fosílnych palív pri výrobe elektriny;</w:t>
                      </w:r>
                    </w:p>
                    <w:p w14:paraId="2C5ADB43" w14:textId="2F5F9BD6" w:rsidR="00270E7B" w:rsidRDefault="00270E7B" w:rsidP="00055E5D">
                      <w:pPr>
                        <w:pStyle w:val="Odsekzoznamu"/>
                        <w:numPr>
                          <w:ilvl w:val="0"/>
                          <w:numId w:val="31"/>
                        </w:numPr>
                        <w:spacing w:after="0"/>
                        <w:ind w:left="714" w:hanging="357"/>
                        <w:rPr>
                          <w:rFonts w:ascii="Segoe UI Semilight" w:hAnsi="Segoe UI Semilight" w:cs="Segoe UI Semilight"/>
                        </w:rPr>
                      </w:pPr>
                      <w:r>
                        <w:rPr>
                          <w:rFonts w:ascii="Segoe UI Semilight" w:hAnsi="Segoe UI Semilight" w:cs="Segoe UI Semilight"/>
                        </w:rPr>
                        <w:t>využitie fosílnych palív v priemysle;</w:t>
                      </w:r>
                    </w:p>
                    <w:p w14:paraId="349A749B" w14:textId="4265E986" w:rsidR="00270E7B" w:rsidRDefault="00270E7B" w:rsidP="00055E5D">
                      <w:pPr>
                        <w:pStyle w:val="Odsekzoznamu"/>
                        <w:numPr>
                          <w:ilvl w:val="0"/>
                          <w:numId w:val="31"/>
                        </w:numPr>
                        <w:spacing w:after="0"/>
                        <w:ind w:left="714" w:hanging="357"/>
                        <w:rPr>
                          <w:rFonts w:ascii="Segoe UI Semilight" w:hAnsi="Segoe UI Semilight" w:cs="Segoe UI Semilight"/>
                        </w:rPr>
                      </w:pPr>
                      <w:r>
                        <w:rPr>
                          <w:rFonts w:ascii="Segoe UI Semilight" w:hAnsi="Segoe UI Semilight" w:cs="Segoe UI Semilight"/>
                        </w:rPr>
                        <w:t>iné konečné použitie fosílnych palív (napr. doprava či domácnosti).</w:t>
                      </w:r>
                    </w:p>
                    <w:p w14:paraId="24781AED" w14:textId="77777777" w:rsidR="00270E7B" w:rsidRDefault="00270E7B" w:rsidP="00B322AB">
                      <w:pPr>
                        <w:rPr>
                          <w:rFonts w:ascii="Segoe UI Semilight" w:hAnsi="Segoe UI Semilight" w:cs="Segoe UI Semiligh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33E244" w14:textId="6D7297A7" w:rsidR="00B322AB" w:rsidRPr="00B322AB" w:rsidRDefault="00B322AB" w:rsidP="00B322AB">
      <w:pPr>
        <w:spacing w:after="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  <w:b/>
        </w:rPr>
        <w:t xml:space="preserve">Významnú zložku na strane produkcie tvorili dotácie </w:t>
      </w:r>
      <w:r w:rsidR="000E4F1A">
        <w:rPr>
          <w:rFonts w:ascii="Segoe UI Semilight" w:hAnsi="Segoe UI Semilight" w:cs="Segoe UI Semilight"/>
          <w:b/>
        </w:rPr>
        <w:t xml:space="preserve">na </w:t>
      </w:r>
      <w:r>
        <w:rPr>
          <w:rFonts w:ascii="Segoe UI Semilight" w:hAnsi="Segoe UI Semilight" w:cs="Segoe UI Semilight"/>
          <w:b/>
        </w:rPr>
        <w:t>výrobu elektrickej energie z</w:t>
      </w:r>
      <w:r w:rsidR="000E4F1A">
        <w:rPr>
          <w:rFonts w:ascii="Segoe UI Semilight" w:hAnsi="Segoe UI Semilight" w:cs="Segoe UI Semilight"/>
          <w:b/>
        </w:rPr>
        <w:t> </w:t>
      </w:r>
      <w:r>
        <w:rPr>
          <w:rFonts w:ascii="Segoe UI Semilight" w:hAnsi="Segoe UI Semilight" w:cs="Segoe UI Semilight"/>
          <w:b/>
        </w:rPr>
        <w:t xml:space="preserve">domáceho uhlia </w:t>
      </w:r>
      <w:r>
        <w:rPr>
          <w:rFonts w:ascii="Segoe UI Semilight" w:hAnsi="Segoe UI Semilight" w:cs="Segoe UI Semilight"/>
        </w:rPr>
        <w:t>(t.</w:t>
      </w:r>
      <w:r w:rsidR="000E4F1A">
        <w:rPr>
          <w:rFonts w:ascii="Segoe UI Semilight" w:hAnsi="Segoe UI Semilight" w:cs="Segoe UI Semilight"/>
        </w:rPr>
        <w:t> </w:t>
      </w:r>
      <w:r>
        <w:rPr>
          <w:rFonts w:ascii="Segoe UI Semilight" w:hAnsi="Segoe UI Semilight" w:cs="Segoe UI Semilight"/>
        </w:rPr>
        <w:t>j. ENO) vo vzťahu k všeobecnému hospodárskemu záujmu</w:t>
      </w:r>
      <w:r w:rsidR="00DA0C5E">
        <w:rPr>
          <w:rFonts w:ascii="Segoe UI Semilight" w:hAnsi="Segoe UI Semilight" w:cs="Segoe UI Semilight"/>
        </w:rPr>
        <w:t xml:space="preserve"> (ďalej len „VHZ“)</w:t>
      </w:r>
      <w:r>
        <w:rPr>
          <w:rFonts w:ascii="Segoe UI Semilight" w:hAnsi="Segoe UI Semilight" w:cs="Segoe UI Semilight"/>
        </w:rPr>
        <w:t xml:space="preserve"> udržan</w:t>
      </w:r>
      <w:r w:rsidR="000E4F1A">
        <w:rPr>
          <w:rFonts w:ascii="Segoe UI Semilight" w:hAnsi="Segoe UI Semilight" w:cs="Segoe UI Semilight"/>
        </w:rPr>
        <w:t>ia</w:t>
      </w:r>
      <w:r>
        <w:rPr>
          <w:rFonts w:ascii="Segoe UI Semilight" w:hAnsi="Segoe UI Semilight" w:cs="Segoe UI Semilight"/>
        </w:rPr>
        <w:t xml:space="preserve"> stability dodávok </w:t>
      </w:r>
      <w:r w:rsidR="00FA6B93">
        <w:rPr>
          <w:rFonts w:ascii="Segoe UI Semilight" w:hAnsi="Segoe UI Semilight" w:cs="Segoe UI Semilight"/>
        </w:rPr>
        <w:t>energie pre región Hornej Nitry</w:t>
      </w:r>
      <w:r w:rsidRPr="00B322AB">
        <w:rPr>
          <w:rFonts w:ascii="Segoe UI Semilight" w:hAnsi="Segoe UI Semilight" w:cs="Segoe UI Semilight"/>
        </w:rPr>
        <w:t>.</w:t>
      </w:r>
      <w:r w:rsidRPr="00B322AB">
        <w:rPr>
          <w:rStyle w:val="Odkaznapoznmkupodiarou"/>
          <w:rFonts w:ascii="Segoe UI Semilight" w:hAnsi="Segoe UI Semilight" w:cs="Segoe UI Semilight"/>
        </w:rPr>
        <w:footnoteReference w:id="5"/>
      </w:r>
      <w:r w:rsidRPr="00B322AB">
        <w:rPr>
          <w:rStyle w:val="Odkaznakomentr"/>
        </w:rPr>
        <w:t xml:space="preserve"> </w:t>
      </w:r>
      <w:r w:rsidRPr="00B322AB">
        <w:rPr>
          <w:rFonts w:ascii="Segoe UI Semilight" w:hAnsi="Segoe UI Semilight" w:cs="Segoe UI Semilight"/>
        </w:rPr>
        <w:t>Náhrada sa poskytovala prostredníctvom mechanizmu stanoveného Úradom pre reguláciu sieťových odvetví (ďalej len „ÚRSO“) na základe každoročne aktualizovanej vyhlášky</w:t>
      </w:r>
      <w:r w:rsidR="00FA6B93">
        <w:rPr>
          <w:rFonts w:ascii="Segoe UI Semilight" w:hAnsi="Segoe UI Semilight" w:cs="Segoe UI Semilight"/>
        </w:rPr>
        <w:t xml:space="preserve"> (ÚRSO určuje výšku doplatku na MWh)</w:t>
      </w:r>
      <w:r w:rsidRPr="00B322AB">
        <w:rPr>
          <w:rFonts w:ascii="Segoe UI Semilight" w:hAnsi="Segoe UI Semilight" w:cs="Segoe UI Semilight"/>
        </w:rPr>
        <w:t>. Účelom bolo poskytnúť náhradu čistých nákladov vrátane odpisov.</w:t>
      </w:r>
      <w:r w:rsidRPr="00B322AB">
        <w:rPr>
          <w:rStyle w:val="Odkaznapoznmkupodiarou"/>
          <w:rFonts w:ascii="Segoe UI Semilight" w:hAnsi="Segoe UI Semilight" w:cs="Segoe UI Semilight"/>
        </w:rPr>
        <w:footnoteReference w:id="6"/>
      </w:r>
      <w:r w:rsidRPr="00B322AB">
        <w:rPr>
          <w:rFonts w:ascii="Segoe UI Semilight" w:hAnsi="Segoe UI Semilight" w:cs="Segoe UI Semilight"/>
        </w:rPr>
        <w:t xml:space="preserve"> Dotácie v priebehu sledovaného obdobia rokov 2011 – 2021 rástli a sv</w:t>
      </w:r>
      <w:r w:rsidR="0015612C">
        <w:rPr>
          <w:rFonts w:ascii="Segoe UI Semilight" w:hAnsi="Segoe UI Semilight" w:cs="Segoe UI Semilight"/>
        </w:rPr>
        <w:t>oju úroveň zvýšili o viac ako 76</w:t>
      </w:r>
      <w:r w:rsidR="00BD1A0B">
        <w:rPr>
          <w:rFonts w:ascii="Segoe UI Semilight" w:hAnsi="Segoe UI Semilight" w:cs="Segoe UI Semilight"/>
        </w:rPr>
        <w:t xml:space="preserve"> %.</w:t>
      </w:r>
    </w:p>
    <w:p w14:paraId="327BFABC" w14:textId="751E73B6" w:rsidR="00B322AB" w:rsidRDefault="00B322AB" w:rsidP="001313AF">
      <w:pPr>
        <w:spacing w:after="0"/>
        <w:rPr>
          <w:rFonts w:ascii="Segoe UI Semilight" w:hAnsi="Segoe UI Semilight" w:cs="Segoe UI Semilight"/>
        </w:rPr>
      </w:pPr>
      <w:r w:rsidRPr="00B322AB">
        <w:rPr>
          <w:rFonts w:ascii="Segoe UI Semilight" w:hAnsi="Segoe UI Semilight" w:cs="Segoe UI Semilight"/>
          <w:b/>
        </w:rPr>
        <w:t>Podporovaná bola aj kombinovaná výroba elektrickej energie a tepla cez doplatok (ďalej len „KVET“)</w:t>
      </w:r>
      <w:r w:rsidRPr="00B322AB">
        <w:rPr>
          <w:rStyle w:val="Odkaznapoznmkupodiarou"/>
          <w:rFonts w:ascii="Segoe UI Semilight" w:hAnsi="Segoe UI Semilight" w:cs="Segoe UI Semilight"/>
        </w:rPr>
        <w:footnoteReference w:id="7"/>
      </w:r>
      <w:r w:rsidRPr="00B322AB">
        <w:rPr>
          <w:rFonts w:ascii="Segoe UI Semilight" w:hAnsi="Segoe UI Semilight" w:cs="Segoe UI Semilight"/>
        </w:rPr>
        <w:t>, pričom sa podporovalo skutočné</w:t>
      </w:r>
      <w:r>
        <w:rPr>
          <w:rFonts w:ascii="Segoe UI Semilight" w:hAnsi="Segoe UI Semilight" w:cs="Segoe UI Semilight"/>
        </w:rPr>
        <w:t xml:space="preserve"> množstvo vyrobenej elektriny a tepla znížené o technologickú spotrebu elektriny výrobcom. </w:t>
      </w:r>
      <w:r w:rsidR="0078137D">
        <w:rPr>
          <w:rFonts w:ascii="Segoe UI Semilight" w:hAnsi="Segoe UI Semilight" w:cs="Segoe UI Semilight"/>
        </w:rPr>
        <w:t xml:space="preserve">Cieľom tohto opatrenia </w:t>
      </w:r>
      <w:r w:rsidR="00697761">
        <w:rPr>
          <w:rFonts w:ascii="Segoe UI Semilight" w:hAnsi="Segoe UI Semilight" w:cs="Segoe UI Semilight"/>
        </w:rPr>
        <w:t xml:space="preserve">bolo </w:t>
      </w:r>
      <w:r w:rsidR="00C01C7B">
        <w:rPr>
          <w:rFonts w:ascii="Segoe UI Semilight" w:hAnsi="Segoe UI Semilight" w:cs="Segoe UI Semilight"/>
        </w:rPr>
        <w:t xml:space="preserve">lepšie </w:t>
      </w:r>
      <w:r w:rsidR="000E4F1A">
        <w:rPr>
          <w:rFonts w:ascii="Segoe UI Semilight" w:hAnsi="Segoe UI Semilight" w:cs="Segoe UI Semilight"/>
        </w:rPr>
        <w:t xml:space="preserve">využiť </w:t>
      </w:r>
      <w:r w:rsidR="00C01C7B">
        <w:rPr>
          <w:rFonts w:ascii="Segoe UI Semilight" w:hAnsi="Segoe UI Semilight" w:cs="Segoe UI Semilight"/>
        </w:rPr>
        <w:t>a </w:t>
      </w:r>
      <w:r w:rsidR="000E4F1A">
        <w:rPr>
          <w:rFonts w:ascii="Segoe UI Semilight" w:hAnsi="Segoe UI Semilight" w:cs="Segoe UI Semilight"/>
        </w:rPr>
        <w:t xml:space="preserve">šetriť </w:t>
      </w:r>
      <w:r w:rsidR="000E4F1A">
        <w:rPr>
          <w:rFonts w:ascii="Segoe UI Semilight" w:hAnsi="Segoe UI Semilight" w:cs="Segoe UI Semilight"/>
        </w:rPr>
        <w:lastRenderedPageBreak/>
        <w:t xml:space="preserve">primárne energetické zdroje </w:t>
      </w:r>
      <w:r w:rsidR="00C01C7B">
        <w:rPr>
          <w:rFonts w:ascii="Segoe UI Semilight" w:hAnsi="Segoe UI Semilight" w:cs="Segoe UI Semilight"/>
        </w:rPr>
        <w:t xml:space="preserve">pri zásobovaní energiou s následným znížením emisií skleníkových plynov. </w:t>
      </w:r>
      <w:r>
        <w:rPr>
          <w:rFonts w:ascii="Segoe UI Semilight" w:hAnsi="Segoe UI Semilight" w:cs="Segoe UI Semilight"/>
        </w:rPr>
        <w:t>Doplatok sa poskytoval, okrem iného, na KVET</w:t>
      </w:r>
      <w:r w:rsidR="00697761">
        <w:rPr>
          <w:rFonts w:ascii="Segoe UI Semilight" w:hAnsi="Segoe UI Semilight" w:cs="Segoe UI Semilight"/>
        </w:rPr>
        <w:t>,</w:t>
      </w:r>
      <w:r>
        <w:rPr>
          <w:rFonts w:ascii="Segoe UI Semilight" w:hAnsi="Segoe UI Semilight" w:cs="Segoe UI Semilight"/>
        </w:rPr>
        <w:t xml:space="preserve"> pri ktorom sa využíva:</w:t>
      </w:r>
    </w:p>
    <w:p w14:paraId="594EC255" w14:textId="77777777" w:rsidR="00B322AB" w:rsidRDefault="00B322AB" w:rsidP="001313AF">
      <w:pPr>
        <w:pStyle w:val="Odsekzoznamu"/>
        <w:numPr>
          <w:ilvl w:val="0"/>
          <w:numId w:val="32"/>
        </w:numPr>
        <w:spacing w:after="0"/>
        <w:ind w:left="714" w:hanging="357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hnedé uhlie,</w:t>
      </w:r>
    </w:p>
    <w:p w14:paraId="3D820E05" w14:textId="77777777" w:rsidR="00B322AB" w:rsidRDefault="00B322AB" w:rsidP="001313AF">
      <w:pPr>
        <w:pStyle w:val="Odsekzoznamu"/>
        <w:numPr>
          <w:ilvl w:val="0"/>
          <w:numId w:val="32"/>
        </w:numPr>
        <w:spacing w:after="0"/>
        <w:ind w:left="714" w:hanging="357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vykurovací olej,</w:t>
      </w:r>
    </w:p>
    <w:p w14:paraId="4160B92C" w14:textId="77777777" w:rsidR="00B322AB" w:rsidRDefault="00B322AB" w:rsidP="001313AF">
      <w:pPr>
        <w:pStyle w:val="Odsekzoznamu"/>
        <w:numPr>
          <w:ilvl w:val="0"/>
          <w:numId w:val="32"/>
        </w:numPr>
        <w:spacing w:after="0"/>
        <w:ind w:left="714" w:hanging="357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zemný plyn,</w:t>
      </w:r>
    </w:p>
    <w:p w14:paraId="36ACA148" w14:textId="77777777" w:rsidR="00B322AB" w:rsidRDefault="00B322AB" w:rsidP="001313AF">
      <w:pPr>
        <w:pStyle w:val="Odsekzoznamu"/>
        <w:numPr>
          <w:ilvl w:val="0"/>
          <w:numId w:val="32"/>
        </w:numPr>
        <w:spacing w:after="0"/>
        <w:ind w:left="714" w:hanging="357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kombinácia zemného plynu, čierneho uhlia a hutníckeho plynu,</w:t>
      </w:r>
    </w:p>
    <w:p w14:paraId="17B407E6" w14:textId="3A826DDA" w:rsidR="00B322AB" w:rsidRDefault="00B322AB" w:rsidP="001313AF">
      <w:pPr>
        <w:pStyle w:val="Odsekzoznamu"/>
        <w:numPr>
          <w:ilvl w:val="0"/>
          <w:numId w:val="32"/>
        </w:numPr>
        <w:spacing w:after="0"/>
        <w:ind w:left="714" w:hanging="357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kombinácia čierneho uhlia a zemného plynu. </w:t>
      </w:r>
    </w:p>
    <w:p w14:paraId="770FD9B9" w14:textId="03FFF060" w:rsidR="001034D4" w:rsidRDefault="00B322AB" w:rsidP="00B322AB">
      <w:pPr>
        <w:spacing w:after="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Výška doplatku nevykazovala konzistenciu</w:t>
      </w:r>
      <w:r w:rsidR="00CB03CC">
        <w:rPr>
          <w:rFonts w:ascii="Segoe UI Semilight" w:hAnsi="Segoe UI Semilight" w:cs="Segoe UI Semilight"/>
        </w:rPr>
        <w:t>,</w:t>
      </w:r>
      <w:r>
        <w:rPr>
          <w:rFonts w:ascii="Segoe UI Semilight" w:hAnsi="Segoe UI Semilight" w:cs="Segoe UI Semilight"/>
        </w:rPr>
        <w:t xml:space="preserve"> každoročne sa menil</w:t>
      </w:r>
      <w:r w:rsidR="009804CE">
        <w:rPr>
          <w:rFonts w:ascii="Segoe UI Semilight" w:hAnsi="Segoe UI Semilight" w:cs="Segoe UI Semilight"/>
        </w:rPr>
        <w:t xml:space="preserve"> objem podporovanej elektriny </w:t>
      </w:r>
      <w:r w:rsidR="000E4F1A">
        <w:rPr>
          <w:rFonts w:ascii="Segoe UI Semilight" w:hAnsi="Segoe UI Semilight" w:cs="Segoe UI Semilight"/>
        </w:rPr>
        <w:t>a </w:t>
      </w:r>
      <w:r>
        <w:rPr>
          <w:rFonts w:ascii="Segoe UI Semilight" w:hAnsi="Segoe UI Semilight" w:cs="Segoe UI Semilight"/>
        </w:rPr>
        <w:t>aj priemerný doplatok</w:t>
      </w:r>
      <w:r w:rsidR="009804CE">
        <w:rPr>
          <w:rFonts w:ascii="Segoe UI Semilight" w:hAnsi="Segoe UI Semilight" w:cs="Segoe UI Semilight"/>
        </w:rPr>
        <w:t>.</w:t>
      </w:r>
      <w:r>
        <w:rPr>
          <w:rStyle w:val="Odkaznapoznmkupodiarou"/>
          <w:rFonts w:ascii="Segoe UI Semilight" w:hAnsi="Segoe UI Semilight" w:cs="Segoe UI Semilight"/>
        </w:rPr>
        <w:footnoteReference w:id="8"/>
      </w:r>
      <w:r>
        <w:rPr>
          <w:rFonts w:ascii="Segoe UI Semilight" w:hAnsi="Segoe UI Semilight" w:cs="Segoe UI Semilight"/>
        </w:rPr>
        <w:t xml:space="preserve"> Najvyšší podiel doplatku smeroval na KVET zo zemného plynu, naopak najmenej na KVET z hnedého uhlia.</w:t>
      </w:r>
    </w:p>
    <w:p w14:paraId="45313698" w14:textId="735AFA84" w:rsidR="00396694" w:rsidRDefault="00B322AB" w:rsidP="00B322AB">
      <w:pPr>
        <w:spacing w:after="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  <w:b/>
        </w:rPr>
        <w:t xml:space="preserve">Energeticky náročné priemyselné podniky  vo vybraných odvetviach (s ročnou spotrebou elektriny nad 1 GWh) dostávali na podporu konkurencieschopnosti a </w:t>
      </w:r>
      <w:r w:rsidR="00844850">
        <w:rPr>
          <w:rFonts w:ascii="Segoe UI Semilight" w:hAnsi="Segoe UI Semilight" w:cs="Segoe UI Semilight"/>
          <w:b/>
        </w:rPr>
        <w:t xml:space="preserve">udržanie </w:t>
      </w:r>
      <w:r>
        <w:rPr>
          <w:rFonts w:ascii="Segoe UI Semilight" w:hAnsi="Segoe UI Semilight" w:cs="Segoe UI Semilight"/>
          <w:b/>
        </w:rPr>
        <w:t>sa na trhu kompenzáciu z úhrady tarify za prevádzkovanie systému (ďalej len „TPS“)</w:t>
      </w:r>
      <w:r>
        <w:rPr>
          <w:rFonts w:ascii="Segoe UI Semilight" w:hAnsi="Segoe UI Semilight" w:cs="Segoe UI Semilight"/>
        </w:rPr>
        <w:t>. Objem podpory bol pohyblivý</w:t>
      </w:r>
      <w:r w:rsidR="0078137D">
        <w:rPr>
          <w:rFonts w:ascii="Segoe UI Semilight" w:hAnsi="Segoe UI Semilight" w:cs="Segoe UI Semilight"/>
        </w:rPr>
        <w:t xml:space="preserve"> </w:t>
      </w:r>
      <w:r w:rsidR="00844850">
        <w:rPr>
          <w:rFonts w:ascii="Segoe UI Semilight" w:hAnsi="Segoe UI Semilight" w:cs="Segoe UI Semilight"/>
        </w:rPr>
        <w:t>–</w:t>
      </w:r>
      <w:r>
        <w:rPr>
          <w:rFonts w:ascii="Segoe UI Semilight" w:hAnsi="Segoe UI Semilight" w:cs="Segoe UI Semilight"/>
        </w:rPr>
        <w:t xml:space="preserve"> podnikom </w:t>
      </w:r>
      <w:r w:rsidR="0078137D">
        <w:rPr>
          <w:rFonts w:ascii="Segoe UI Semilight" w:hAnsi="Segoe UI Semilight" w:cs="Segoe UI Semilight"/>
        </w:rPr>
        <w:t xml:space="preserve">vyhovujúcim požiadavkám </w:t>
      </w:r>
      <w:r>
        <w:rPr>
          <w:rFonts w:ascii="Segoe UI Semilight" w:hAnsi="Segoe UI Semilight" w:cs="Segoe UI Semilight"/>
        </w:rPr>
        <w:t xml:space="preserve">sa rozdelila pevná suma (uvedená MH SR) na základe počtu oprávnených firiem a ich spotreby v danom roku. Každoročne bol </w:t>
      </w:r>
      <w:r w:rsidR="00844850">
        <w:rPr>
          <w:rFonts w:ascii="Segoe UI Semilight" w:hAnsi="Segoe UI Semilight" w:cs="Segoe UI Semilight"/>
        </w:rPr>
        <w:t xml:space="preserve">na tento účel vyčlenený </w:t>
      </w:r>
      <w:r>
        <w:rPr>
          <w:rFonts w:ascii="Segoe UI Semilight" w:hAnsi="Segoe UI Semilight" w:cs="Segoe UI Semilight"/>
        </w:rPr>
        <w:t>rozpočet 40 mil. eur, z ktorého sa vyčerpalo</w:t>
      </w:r>
      <w:r w:rsidR="00396694">
        <w:rPr>
          <w:rFonts w:ascii="Segoe UI Semilight" w:hAnsi="Segoe UI Semilight" w:cs="Segoe UI Semilight"/>
        </w:rPr>
        <w:t xml:space="preserve"> </w:t>
      </w:r>
      <w:r>
        <w:rPr>
          <w:rFonts w:ascii="Segoe UI Semilight" w:hAnsi="Segoe UI Semilight" w:cs="Segoe UI Semilight"/>
        </w:rPr>
        <w:t xml:space="preserve">každý rok približne 99 %. Po prenásobení </w:t>
      </w:r>
      <w:r w:rsidR="00F7501A">
        <w:rPr>
          <w:rFonts w:ascii="Segoe UI Semilight" w:hAnsi="Segoe UI Semilight" w:cs="Segoe UI Semilight"/>
        </w:rPr>
        <w:t xml:space="preserve">koeficientom výroby </w:t>
      </w:r>
      <w:r>
        <w:rPr>
          <w:rFonts w:ascii="Segoe UI Semilight" w:hAnsi="Segoe UI Semilight" w:cs="Segoe UI Semilight"/>
        </w:rPr>
        <w:t>energie z fosílnych palív predstavovala podpora každoročne</w:t>
      </w:r>
      <w:r w:rsidR="00844850">
        <w:rPr>
          <w:rFonts w:ascii="Segoe UI Semilight" w:hAnsi="Segoe UI Semilight" w:cs="Segoe UI Semilight"/>
          <w:color w:val="FF0000"/>
        </w:rPr>
        <w:t xml:space="preserve"> </w:t>
      </w:r>
      <w:r>
        <w:rPr>
          <w:rFonts w:ascii="Segoe UI Semilight" w:hAnsi="Segoe UI Semilight" w:cs="Segoe UI Semilight"/>
        </w:rPr>
        <w:t>viac ako 8 mil. eur.</w:t>
      </w:r>
    </w:p>
    <w:p w14:paraId="09D18684" w14:textId="1EB7133C" w:rsidR="00396694" w:rsidRDefault="00396694" w:rsidP="00B322AB">
      <w:pPr>
        <w:spacing w:after="0"/>
        <w:rPr>
          <w:rFonts w:ascii="Segoe UI Semilight" w:hAnsi="Segoe UI Semilight" w:cs="Segoe UI Semilight"/>
        </w:rPr>
      </w:pP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63DA35B" wp14:editId="522169A1">
                <wp:simplePos x="0" y="0"/>
                <wp:positionH relativeFrom="margin">
                  <wp:posOffset>-42545</wp:posOffset>
                </wp:positionH>
                <wp:positionV relativeFrom="paragraph">
                  <wp:posOffset>191135</wp:posOffset>
                </wp:positionV>
                <wp:extent cx="5271770" cy="4057650"/>
                <wp:effectExtent l="0" t="0" r="24130" b="19050"/>
                <wp:wrapSquare wrapText="bothSides"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1770" cy="4057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15F5A" w14:textId="2CA52AF2" w:rsidR="00270E7B" w:rsidRDefault="00270E7B" w:rsidP="001313AF">
                            <w:pPr>
                              <w:pStyle w:val="Popis"/>
                              <w:spacing w:after="0"/>
                              <w:rPr>
                                <w:rFonts w:ascii="Segoe UI Semilight" w:hAnsi="Segoe UI Semilight" w:cs="Segoe UI Semilight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b/>
                                <w:color w:val="auto"/>
                                <w:sz w:val="22"/>
                                <w:szCs w:val="22"/>
                              </w:rPr>
                              <w:t>Box 2 - Elektrická energia</w:t>
                            </w:r>
                          </w:p>
                          <w:p w14:paraId="0173D544" w14:textId="364EF3C2" w:rsidR="00270E7B" w:rsidRDefault="00270E7B" w:rsidP="001313AF">
                            <w:pPr>
                              <w:spacing w:after="0"/>
                              <w:rPr>
                                <w:rFonts w:ascii="Segoe UI Semilight" w:hAnsi="Segoe UI Semilight" w:cs="Segoe UI Semilight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</w:rPr>
                              <w:t xml:space="preserve">Pri dotáciách na elektrickú energiu je potrebné vziať do úvahy </w:t>
                            </w:r>
                            <w:r w:rsidR="002E6357">
                              <w:rPr>
                                <w:rFonts w:ascii="Segoe UI Semilight" w:hAnsi="Segoe UI Semilight" w:cs="Segoe UI Semilight"/>
                              </w:rPr>
                              <w:t>elektro</w:t>
                            </w:r>
                            <w:r>
                              <w:rPr>
                                <w:rFonts w:ascii="Segoe UI Semilight" w:hAnsi="Segoe UI Semilight" w:cs="Segoe UI Semilight"/>
                              </w:rPr>
                              <w:t>energetický mix štátu (nie všetka elektrická energia je fosílna). Spotreba elektrickej energie podľa použitého zdroja nie je exaktne daná, preto sa na účely výpočtov v materiáli a vykazovania v rámci Agendy 2030 použili dáta za výrobu elektrickej energie rozdelené na fosílne a nefosílne. V danom období sa podiel fosílnej energie na celkovej vyrobenej energii pohyboval priemerne okolo 22 %.</w:t>
                            </w:r>
                          </w:p>
                          <w:p w14:paraId="44CD997C" w14:textId="73398260" w:rsidR="00B5652F" w:rsidRDefault="00B5652F" w:rsidP="00B5652F">
                            <w:pPr>
                              <w:spacing w:after="0"/>
                              <w:jc w:val="center"/>
                              <w:rPr>
                                <w:rFonts w:ascii="Segoe UI Semilight" w:hAnsi="Segoe UI Semilight" w:cs="Segoe UI Semilight"/>
                              </w:rPr>
                            </w:pPr>
                            <w:r>
                              <w:rPr>
                                <w:noProof/>
                                <w:lang w:eastAsia="sk-SK"/>
                              </w:rPr>
                              <w:drawing>
                                <wp:inline distT="0" distB="0" distL="0" distR="0" wp14:anchorId="004BA254" wp14:editId="705BA59B">
                                  <wp:extent cx="4704080" cy="1633235"/>
                                  <wp:effectExtent l="0" t="0" r="1270" b="5080"/>
                                  <wp:docPr id="17" name="Graf 17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3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EDEAAC" w14:textId="2F4352D6" w:rsidR="00270E7B" w:rsidRDefault="00270E7B" w:rsidP="001313AF">
                            <w:pPr>
                              <w:spacing w:after="0"/>
                              <w:rPr>
                                <w:rFonts w:ascii="Segoe UI Semilight" w:hAnsi="Segoe UI Semilight" w:cs="Segoe UI Semilight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</w:rPr>
                              <w:t>Rok 2021  je z dôvodu chýbajúcich dát nahradený dátami z roku 2019 (predkrízový rok).</w:t>
                            </w:r>
                          </w:p>
                          <w:p w14:paraId="5B50B32E" w14:textId="77777777" w:rsidR="00270E7B" w:rsidRDefault="00270E7B" w:rsidP="001313AF">
                            <w:pPr>
                              <w:spacing w:after="0"/>
                              <w:rPr>
                                <w:rFonts w:ascii="Segoe UI Semilight" w:hAnsi="Segoe UI Semilight" w:cs="Segoe UI Semilight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sz w:val="20"/>
                              </w:rPr>
                              <w:t>Zdroj: Štatistické energetické bilancie Európskej komisie, dostupné na:</w:t>
                            </w:r>
                            <w:r>
                              <w:t xml:space="preserve"> </w:t>
                            </w:r>
                            <w:hyperlink r:id="rId14" w:history="1">
                              <w:proofErr w:type="spellStart"/>
                              <w:r>
                                <w:rPr>
                                  <w:rStyle w:val="Hypertextovprepojenie"/>
                                </w:rPr>
                                <w:t>Eurostat</w:t>
                              </w:r>
                              <w:proofErr w:type="spellEnd"/>
                              <w:r>
                                <w:rPr>
                                  <w:rStyle w:val="Hypertextovprepojenie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rStyle w:val="Hypertextovprepojenie"/>
                                </w:rPr>
                                <w:t>Data</w:t>
                              </w:r>
                              <w:proofErr w:type="spellEnd"/>
                              <w:r>
                                <w:rPr>
                                  <w:rStyle w:val="Hypertextovprepojenie"/>
                                </w:rPr>
                                <w:t xml:space="preserve"> Explorer (europa.eu)</w:t>
                              </w:r>
                            </w:hyperlink>
                          </w:p>
                          <w:p w14:paraId="41F6DEBA" w14:textId="77777777" w:rsidR="00270E7B" w:rsidRDefault="00270E7B" w:rsidP="00B322AB">
                            <w:pPr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  <w:p w14:paraId="36CB5871" w14:textId="77777777" w:rsidR="00270E7B" w:rsidRDefault="00270E7B" w:rsidP="00B322AB"/>
                          <w:p w14:paraId="320CBCD8" w14:textId="77777777" w:rsidR="00270E7B" w:rsidRDefault="00270E7B" w:rsidP="00B322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DA35B" id="Textové pole 5" o:spid="_x0000_s1029" type="#_x0000_t202" style="position:absolute;left:0;text-align:left;margin-left:-3.35pt;margin-top:15.05pt;width:415.1pt;height:31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" fillcolor="#deeaf6 [660]">
                <v:textbox>
                  <w:txbxContent>
                    <w:p w14:paraId="5CC15F5A" w14:textId="2CA52AF2" w:rsidR="00270E7B" w:rsidRDefault="00270E7B" w:rsidP="001313AF">
                      <w:pPr>
                        <w:pStyle w:val="Popis"/>
                        <w:spacing w:after="0"/>
                        <w:rPr>
                          <w:rFonts w:ascii="Segoe UI Semilight" w:hAnsi="Segoe UI Semilight" w:cs="Segoe UI Semilight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b/>
                          <w:color w:val="auto"/>
                          <w:sz w:val="22"/>
                          <w:szCs w:val="22"/>
                        </w:rPr>
                        <w:t>Box 2 - Elektrická energia</w:t>
                      </w:r>
                    </w:p>
                    <w:p w14:paraId="0173D544" w14:textId="364EF3C2" w:rsidR="00270E7B" w:rsidRDefault="00270E7B" w:rsidP="001313AF">
                      <w:pPr>
                        <w:spacing w:after="0"/>
                        <w:rPr>
                          <w:rFonts w:ascii="Segoe UI Semilight" w:hAnsi="Segoe UI Semilight" w:cs="Segoe UI Semilight"/>
                        </w:rPr>
                      </w:pPr>
                      <w:r>
                        <w:rPr>
                          <w:rFonts w:ascii="Segoe UI Semilight" w:hAnsi="Segoe UI Semilight" w:cs="Segoe UI Semilight"/>
                        </w:rPr>
                        <w:t xml:space="preserve">Pri dotáciách na elektrickú energiu je potrebné vziať do úvahy </w:t>
                      </w:r>
                      <w:r w:rsidR="002E6357">
                        <w:rPr>
                          <w:rFonts w:ascii="Segoe UI Semilight" w:hAnsi="Segoe UI Semilight" w:cs="Segoe UI Semilight"/>
                        </w:rPr>
                        <w:t>elektro</w:t>
                      </w:r>
                      <w:r>
                        <w:rPr>
                          <w:rFonts w:ascii="Segoe UI Semilight" w:hAnsi="Segoe UI Semilight" w:cs="Segoe UI Semilight"/>
                        </w:rPr>
                        <w:t>energetický mix štátu (nie všetka elektrická energia je fosílna). Spotreba elektrickej energie podľa použitého zdroja nie je exaktne daná, preto sa na účely výpočtov v materiáli a vykazovania v rámci Agendy 2030 použili dáta za výrobu elektrickej energie rozdelené na fosílne a nefosílne. V danom období sa podiel fosílnej energie na celkovej vyrobenej energii pohyboval priemerne okolo 22 %.</w:t>
                      </w:r>
                    </w:p>
                    <w:p w14:paraId="44CD997C" w14:textId="73398260" w:rsidR="00B5652F" w:rsidRDefault="00B5652F" w:rsidP="00B5652F">
                      <w:pPr>
                        <w:spacing w:after="0"/>
                        <w:jc w:val="center"/>
                        <w:rPr>
                          <w:rFonts w:ascii="Segoe UI Semilight" w:hAnsi="Segoe UI Semilight" w:cs="Segoe UI Semilight"/>
                        </w:rPr>
                      </w:pPr>
                      <w:r>
                        <w:rPr>
                          <w:noProof/>
                          <w:lang w:eastAsia="sk-SK"/>
                        </w:rPr>
                        <w:drawing>
                          <wp:inline distT="0" distB="0" distL="0" distR="0" wp14:anchorId="004BA254" wp14:editId="705BA59B">
                            <wp:extent cx="4704080" cy="1633235"/>
                            <wp:effectExtent l="0" t="0" r="1270" b="5080"/>
                            <wp:docPr id="17" name="Graf 17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5"/>
                              </a:graphicData>
                            </a:graphic>
                          </wp:inline>
                        </w:drawing>
                      </w:r>
                    </w:p>
                    <w:p w14:paraId="6DEDEAAC" w14:textId="2F4352D6" w:rsidR="00270E7B" w:rsidRDefault="00270E7B" w:rsidP="001313AF">
                      <w:pPr>
                        <w:spacing w:after="0"/>
                        <w:rPr>
                          <w:rFonts w:ascii="Segoe UI Semilight" w:hAnsi="Segoe UI Semilight" w:cs="Segoe UI Semilight"/>
                        </w:rPr>
                      </w:pPr>
                      <w:r>
                        <w:rPr>
                          <w:rFonts w:ascii="Segoe UI Semilight" w:hAnsi="Segoe UI Semilight" w:cs="Segoe UI Semilight"/>
                        </w:rPr>
                        <w:t>Rok 2021  je z dôvodu chýbajúcich dát nahradený dátami z roku 2019 (predkrízový rok).</w:t>
                      </w:r>
                    </w:p>
                    <w:p w14:paraId="5B50B32E" w14:textId="77777777" w:rsidR="00270E7B" w:rsidRDefault="00270E7B" w:rsidP="001313AF">
                      <w:pPr>
                        <w:spacing w:after="0"/>
                        <w:rPr>
                          <w:rFonts w:ascii="Segoe UI Semilight" w:hAnsi="Segoe UI Semilight" w:cs="Segoe UI Semilight"/>
                        </w:rPr>
                      </w:pPr>
                      <w:r>
                        <w:rPr>
                          <w:rFonts w:ascii="Segoe UI Semilight" w:hAnsi="Segoe UI Semilight" w:cs="Segoe UI Semilight"/>
                          <w:sz w:val="20"/>
                        </w:rPr>
                        <w:t>Zdroj: Štatistické energetické bilancie Európskej komisie, dostupné na:</w:t>
                      </w:r>
                      <w:r>
                        <w:t xml:space="preserve"> </w:t>
                      </w:r>
                      <w:hyperlink r:id="rId16" w:history="1">
                        <w:r>
                          <w:rPr>
                            <w:rStyle w:val="Hypertextovprepojenie"/>
                          </w:rPr>
                          <w:t>Eurostat - Data Explorer (europa.eu)</w:t>
                        </w:r>
                      </w:hyperlink>
                    </w:p>
                    <w:p w14:paraId="41F6DEBA" w14:textId="77777777" w:rsidR="00270E7B" w:rsidRDefault="00270E7B" w:rsidP="00B322AB">
                      <w:pPr>
                        <w:rPr>
                          <w:rFonts w:ascii="Segoe UI Semilight" w:hAnsi="Segoe UI Semilight" w:cs="Segoe UI Semilight"/>
                        </w:rPr>
                      </w:pPr>
                    </w:p>
                    <w:p w14:paraId="36CB5871" w14:textId="77777777" w:rsidR="00270E7B" w:rsidRDefault="00270E7B" w:rsidP="00B322AB"/>
                    <w:p w14:paraId="320CBCD8" w14:textId="77777777" w:rsidR="00270E7B" w:rsidRDefault="00270E7B" w:rsidP="00B322AB"/>
                  </w:txbxContent>
                </v:textbox>
                <w10:wrap type="square" anchorx="margin"/>
              </v:shape>
            </w:pict>
          </mc:Fallback>
        </mc:AlternateContent>
      </w:r>
    </w:p>
    <w:p w14:paraId="3497C21B" w14:textId="77777777" w:rsidR="001034D4" w:rsidRDefault="001034D4" w:rsidP="00B322AB">
      <w:pPr>
        <w:spacing w:after="0"/>
        <w:rPr>
          <w:rFonts w:ascii="Segoe UI Semilight" w:hAnsi="Segoe UI Semilight" w:cs="Segoe UI Semilight"/>
          <w:b/>
        </w:rPr>
      </w:pPr>
    </w:p>
    <w:p w14:paraId="5BC924CD" w14:textId="601E0C4B" w:rsidR="00B322AB" w:rsidRDefault="00B322AB" w:rsidP="00B322AB">
      <w:pPr>
        <w:spacing w:after="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  <w:b/>
        </w:rPr>
        <w:lastRenderedPageBreak/>
        <w:t xml:space="preserve">Environmentálny fond si uplatňoval v rokoch 2016 </w:t>
      </w:r>
      <w:r w:rsidR="00FC3900">
        <w:rPr>
          <w:rFonts w:ascii="Segoe UI Semilight" w:hAnsi="Segoe UI Semilight" w:cs="Segoe UI Semilight"/>
          <w:b/>
        </w:rPr>
        <w:t>–</w:t>
      </w:r>
      <w:r>
        <w:rPr>
          <w:rFonts w:ascii="Segoe UI Semilight" w:hAnsi="Segoe UI Semilight" w:cs="Segoe UI Semilight"/>
          <w:b/>
        </w:rPr>
        <w:t xml:space="preserve"> 2020 schému štátnej pomoci</w:t>
      </w:r>
      <w:r>
        <w:rPr>
          <w:rFonts w:ascii="Segoe UI Semilight" w:hAnsi="Segoe UI Semilight" w:cs="Segoe UI Semilight"/>
        </w:rPr>
        <w:t xml:space="preserve"> </w:t>
      </w:r>
      <w:r>
        <w:rPr>
          <w:rFonts w:ascii="Segoe UI Semilight" w:hAnsi="Segoe UI Semilight" w:cs="Segoe UI Semilight"/>
          <w:b/>
        </w:rPr>
        <w:t xml:space="preserve">pre podniky </w:t>
      </w:r>
      <w:r w:rsidR="00FC3900">
        <w:rPr>
          <w:rFonts w:ascii="Segoe UI Semilight" w:hAnsi="Segoe UI Semilight" w:cs="Segoe UI Semilight"/>
          <w:b/>
        </w:rPr>
        <w:t>v </w:t>
      </w:r>
      <w:r>
        <w:rPr>
          <w:rFonts w:ascii="Segoe UI Semilight" w:hAnsi="Segoe UI Semilight" w:cs="Segoe UI Semilight"/>
          <w:b/>
        </w:rPr>
        <w:t>odvetviach, v ktorých sa predpokladá značné riziko úniku uhlíka</w:t>
      </w:r>
      <w:r>
        <w:rPr>
          <w:rStyle w:val="Odkaznapoznmkupodiarou"/>
          <w:rFonts w:ascii="Segoe UI Semilight" w:hAnsi="Segoe UI Semilight" w:cs="Segoe UI Semilight"/>
        </w:rPr>
        <w:footnoteReference w:id="9"/>
      </w:r>
      <w:r>
        <w:rPr>
          <w:rFonts w:ascii="Segoe UI Semilight" w:hAnsi="Segoe UI Semilight" w:cs="Segoe UI Semilight"/>
        </w:rPr>
        <w:t xml:space="preserve">. Tým boli podporené energeticky náročné podniky, ktorým boli kompenzované náklady </w:t>
      </w:r>
      <w:r w:rsidR="002E4B85">
        <w:rPr>
          <w:rFonts w:ascii="Segoe UI Semilight" w:hAnsi="Segoe UI Semilight" w:cs="Segoe UI Semilight"/>
        </w:rPr>
        <w:t xml:space="preserve">súvislosti s premietnutím nákladov </w:t>
      </w:r>
      <w:r>
        <w:rPr>
          <w:rFonts w:ascii="Segoe UI Semilight" w:hAnsi="Segoe UI Semilight" w:cs="Segoe UI Semilight"/>
        </w:rPr>
        <w:t>kvót</w:t>
      </w:r>
      <w:r w:rsidR="002E4B85">
        <w:rPr>
          <w:rFonts w:ascii="Segoe UI Semilight" w:hAnsi="Segoe UI Semilight" w:cs="Segoe UI Semilight"/>
        </w:rPr>
        <w:t xml:space="preserve"> do elektrickej energie</w:t>
      </w:r>
      <w:r>
        <w:rPr>
          <w:rFonts w:ascii="Segoe UI Semilight" w:hAnsi="Segoe UI Semilight" w:cs="Segoe UI Semilight"/>
        </w:rPr>
        <w:t xml:space="preserve">. </w:t>
      </w:r>
      <w:r w:rsidR="002E4B85">
        <w:rPr>
          <w:rFonts w:ascii="Segoe UI Semilight" w:hAnsi="Segoe UI Semilight" w:cs="Segoe UI Semilight"/>
        </w:rPr>
        <w:t xml:space="preserve">Počet podnikov podporených kompenzáciou sa každým rokom zvyšoval, v roku 2020 bolo podporených 10 energeticky náročných podnikov. </w:t>
      </w:r>
      <w:r w:rsidR="00F7501A">
        <w:rPr>
          <w:rFonts w:ascii="Segoe UI Semilight" w:hAnsi="Segoe UI Semilight" w:cs="Segoe UI Semilight"/>
        </w:rPr>
        <w:t>Po p</w:t>
      </w:r>
      <w:r>
        <w:rPr>
          <w:rFonts w:ascii="Segoe UI Semilight" w:hAnsi="Segoe UI Semilight" w:cs="Segoe UI Semilight"/>
        </w:rPr>
        <w:t xml:space="preserve">renásobení </w:t>
      </w:r>
      <w:r w:rsidR="00F7501A">
        <w:rPr>
          <w:rFonts w:ascii="Segoe UI Semilight" w:hAnsi="Segoe UI Semilight" w:cs="Segoe UI Semilight"/>
        </w:rPr>
        <w:t xml:space="preserve">koeficientom výroby </w:t>
      </w:r>
      <w:r>
        <w:rPr>
          <w:rFonts w:ascii="Segoe UI Semilight" w:hAnsi="Segoe UI Semilight" w:cs="Segoe UI Semilight"/>
        </w:rPr>
        <w:t xml:space="preserve">elektrickej energie z fosílnych palív je dotácia </w:t>
      </w:r>
      <w:r w:rsidR="00FC3900">
        <w:rPr>
          <w:rFonts w:ascii="Segoe UI Semilight" w:hAnsi="Segoe UI Semilight" w:cs="Segoe UI Semilight"/>
        </w:rPr>
        <w:t xml:space="preserve">na tento účel </w:t>
      </w:r>
      <w:r>
        <w:rPr>
          <w:rFonts w:ascii="Segoe UI Semilight" w:hAnsi="Segoe UI Semilight" w:cs="Segoe UI Semilight"/>
        </w:rPr>
        <w:t>fluktuujúca medzi 1</w:t>
      </w:r>
      <w:r w:rsidR="00FC3900">
        <w:rPr>
          <w:rFonts w:ascii="Segoe UI Semilight" w:hAnsi="Segoe UI Semilight" w:cs="Segoe UI Semilight"/>
        </w:rPr>
        <w:t xml:space="preserve"> – </w:t>
      </w:r>
      <w:r>
        <w:rPr>
          <w:rFonts w:ascii="Segoe UI Semilight" w:hAnsi="Segoe UI Semilight" w:cs="Segoe UI Semilight"/>
        </w:rPr>
        <w:t>2 mil. eur.</w:t>
      </w:r>
    </w:p>
    <w:p w14:paraId="7701617B" w14:textId="6E872D16" w:rsidR="00D94636" w:rsidRDefault="00B322AB" w:rsidP="00B322AB">
      <w:pPr>
        <w:spacing w:after="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  <w:b/>
        </w:rPr>
        <w:t>Štátom boli jednorazovo vyplácané vratky za plyn v roku 2015</w:t>
      </w:r>
      <w:r>
        <w:rPr>
          <w:rFonts w:ascii="Segoe UI Semilight" w:hAnsi="Segoe UI Semilight" w:cs="Segoe UI Semilight"/>
        </w:rPr>
        <w:t>, kde je možnosť čerpania a žiadania o vrátku platná do súčasnosti.</w:t>
      </w:r>
      <w:r>
        <w:rPr>
          <w:rStyle w:val="Odkaznapoznmkupodiarou"/>
          <w:rFonts w:ascii="Segoe UI Semilight" w:hAnsi="Segoe UI Semilight" w:cs="Segoe UI Semilight"/>
        </w:rPr>
        <w:footnoteReference w:id="10"/>
      </w:r>
      <w:r>
        <w:rPr>
          <w:rFonts w:ascii="Segoe UI Semilight" w:hAnsi="Segoe UI Semilight" w:cs="Segoe UI Semilight"/>
        </w:rPr>
        <w:t xml:space="preserve"> V</w:t>
      </w:r>
      <w:r w:rsidR="00FC3900">
        <w:rPr>
          <w:rFonts w:ascii="Segoe UI Semilight" w:hAnsi="Segoe UI Semilight" w:cs="Segoe UI Semilight"/>
        </w:rPr>
        <w:t>ratky za plyn sú v</w:t>
      </w:r>
      <w:r>
        <w:rPr>
          <w:rFonts w:ascii="Segoe UI Semilight" w:hAnsi="Segoe UI Semilight" w:cs="Segoe UI Semilight"/>
        </w:rPr>
        <w:t>yplácané na základe zníženej ceny plynu pre domácnosti s ročnou spotrebou do 68 575 kWh vo výške 6 % (alebo minimálne 10 eur) zo zaplatenej sumy za zemný plyn za rok 2015</w:t>
      </w:r>
      <w:r w:rsidR="009804CE">
        <w:rPr>
          <w:rFonts w:ascii="Segoe UI Semilight" w:hAnsi="Segoe UI Semilight" w:cs="Segoe UI Semilight"/>
        </w:rPr>
        <w:t>.</w:t>
      </w:r>
      <w:r w:rsidR="00270E7B">
        <w:rPr>
          <w:rStyle w:val="Odkaznapoznmkupodiarou"/>
          <w:rFonts w:ascii="Segoe UI Semilight" w:hAnsi="Segoe UI Semilight" w:cs="Segoe UI Semilight"/>
        </w:rPr>
        <w:footnoteReference w:id="11"/>
      </w:r>
      <w:r w:rsidR="009804CE">
        <w:rPr>
          <w:rFonts w:ascii="Segoe UI Semilight" w:hAnsi="Segoe UI Semilight" w:cs="Segoe UI Semilight"/>
        </w:rPr>
        <w:t xml:space="preserve"> Vyhradený rozpočet na vra</w:t>
      </w:r>
      <w:r>
        <w:rPr>
          <w:rFonts w:ascii="Segoe UI Semilight" w:hAnsi="Segoe UI Semilight" w:cs="Segoe UI Semilight"/>
        </w:rPr>
        <w:t xml:space="preserve">tky bol vo výške </w:t>
      </w:r>
      <w:r w:rsidR="00FC3900">
        <w:rPr>
          <w:rFonts w:ascii="Segoe UI Semilight" w:hAnsi="Segoe UI Semilight" w:cs="Segoe UI Semilight"/>
        </w:rPr>
        <w:br/>
      </w:r>
      <w:r>
        <w:rPr>
          <w:rFonts w:ascii="Segoe UI Semilight" w:hAnsi="Segoe UI Semilight" w:cs="Segoe UI Semilight"/>
        </w:rPr>
        <w:t>48 mil. eur, z ktorého sa do roku 2020 vyčerpalo 46,127 mil. eur.</w:t>
      </w:r>
    </w:p>
    <w:p w14:paraId="1A1C7378" w14:textId="77777777" w:rsidR="00B322AB" w:rsidRDefault="00B322AB" w:rsidP="001313AF">
      <w:pPr>
        <w:pStyle w:val="Nadpis2"/>
        <w:spacing w:before="240"/>
      </w:pPr>
      <w:bookmarkStart w:id="8" w:name="_Toc121990624"/>
      <w:bookmarkStart w:id="9" w:name="_Toc121993847"/>
      <w:r w:rsidRPr="00000A85">
        <w:t>Daňové výdavky</w:t>
      </w:r>
      <w:bookmarkEnd w:id="8"/>
      <w:bookmarkEnd w:id="9"/>
    </w:p>
    <w:p w14:paraId="0AA58F73" w14:textId="6553DECD" w:rsidR="00A22DAD" w:rsidRDefault="00B322AB" w:rsidP="00B322AB">
      <w:pPr>
        <w:spacing w:after="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  <w:b/>
        </w:rPr>
        <w:t>Daňové výdavky sa vykazujú ako ušlé vládne príjmy.</w:t>
      </w:r>
      <w:r>
        <w:rPr>
          <w:rFonts w:ascii="Segoe UI Semilight" w:hAnsi="Segoe UI Semilight" w:cs="Segoe UI Semilight"/>
        </w:rPr>
        <w:t xml:space="preserve"> Fosílne palivá štát dotuje v podobe daňovej úľavy alebo oslobodení od dane. Daňové výdavky vznikli štátu pri podpore uhlia, zemného plynu a elektrickej energie. Na strane produkcie evidovalo Slovensko šesť rozličných podpôr, na strane spotreby sedem. Objem podpory bol najvýraznejší v prípade podporovania priemyslu oslobodením od spotrebnej dane a najmenší v prípade ťažby a spracovania uhlia.</w:t>
      </w:r>
    </w:p>
    <w:p w14:paraId="6965BFD0" w14:textId="1C69BFDF" w:rsidR="00B322AB" w:rsidRDefault="00B322AB" w:rsidP="001313AF">
      <w:pPr>
        <w:pStyle w:val="Popis"/>
        <w:keepNext/>
        <w:spacing w:before="120" w:after="0"/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</w:pPr>
      <w:r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t>Graf 3: Vývoj daňových výdavkov (</w:t>
      </w:r>
      <w:r w:rsidR="00C239BE"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t xml:space="preserve">v </w:t>
      </w:r>
      <w:r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t>mil. eur)</w:t>
      </w:r>
    </w:p>
    <w:tbl>
      <w:tblPr>
        <w:tblStyle w:val="Mriekatabuky"/>
        <w:tblW w:w="0" w:type="auto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7"/>
        <w:gridCol w:w="4605"/>
      </w:tblGrid>
      <w:tr w:rsidR="0034379B" w14:paraId="403F0B62" w14:textId="77777777" w:rsidTr="00577625">
        <w:tc>
          <w:tcPr>
            <w:tcW w:w="4700" w:type="dxa"/>
          </w:tcPr>
          <w:p w14:paraId="65E2AABC" w14:textId="6056D8EB" w:rsidR="0034379B" w:rsidRDefault="00577625" w:rsidP="007B3A3F">
            <w:pPr>
              <w:rPr>
                <w:rStyle w:val="Odkaznakomentr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7ECCA7A1" wp14:editId="4BB0568B">
                  <wp:extent cx="2880000" cy="1756800"/>
                  <wp:effectExtent l="0" t="0" r="0" b="0"/>
                  <wp:docPr id="19" name="Graf 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4372" w:type="dxa"/>
          </w:tcPr>
          <w:p w14:paraId="43BCE236" w14:textId="41776586" w:rsidR="0034379B" w:rsidRDefault="00577625" w:rsidP="007B3A3F">
            <w:pPr>
              <w:rPr>
                <w:rStyle w:val="Odkaznakomentr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1C7E99FA" wp14:editId="310B47E4">
                  <wp:extent cx="2971800" cy="1756410"/>
                  <wp:effectExtent l="0" t="0" r="0" b="0"/>
                  <wp:docPr id="20" name="Graf 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</w:tbl>
    <w:p w14:paraId="63F19B40" w14:textId="3AEDAB4B" w:rsidR="00B322AB" w:rsidRDefault="00B322AB" w:rsidP="009804CE">
      <w:pPr>
        <w:pStyle w:val="Popis"/>
        <w:spacing w:after="0"/>
        <w:jc w:val="right"/>
        <w:rPr>
          <w:rFonts w:ascii="Segoe UI Semilight" w:hAnsi="Segoe UI Semilight" w:cs="Segoe UI Semilight"/>
          <w:iCs w:val="0"/>
          <w:color w:val="auto"/>
          <w:sz w:val="22"/>
          <w:szCs w:val="22"/>
        </w:rPr>
      </w:pPr>
      <w:r>
        <w:rPr>
          <w:rFonts w:ascii="Segoe UI Semilight" w:hAnsi="Segoe UI Semilight" w:cs="Segoe UI Semilight"/>
          <w:iCs w:val="0"/>
          <w:color w:val="auto"/>
          <w:sz w:val="22"/>
          <w:szCs w:val="22"/>
        </w:rPr>
        <w:t>Zdroj: Vlastné výpočty IHA na základe dát OBÚ a MF SR</w:t>
      </w:r>
    </w:p>
    <w:p w14:paraId="46F9232E" w14:textId="1A10719C" w:rsidR="00B322AB" w:rsidRDefault="00B322AB" w:rsidP="00B322AB">
      <w:pPr>
        <w:spacing w:after="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  <w:b/>
        </w:rPr>
        <w:t xml:space="preserve">Oslobodenie od spotrebnej dane </w:t>
      </w:r>
      <w:r w:rsidR="001034D4">
        <w:rPr>
          <w:rFonts w:ascii="Segoe UI Semilight" w:hAnsi="Segoe UI Semilight" w:cs="Segoe UI Semilight"/>
          <w:b/>
        </w:rPr>
        <w:t>sa apliku</w:t>
      </w:r>
      <w:r w:rsidR="00A22DAD">
        <w:rPr>
          <w:rFonts w:ascii="Segoe UI Semilight" w:hAnsi="Segoe UI Semilight" w:cs="Segoe UI Semilight"/>
          <w:b/>
        </w:rPr>
        <w:t>j</w:t>
      </w:r>
      <w:r w:rsidR="001034D4">
        <w:rPr>
          <w:rFonts w:ascii="Segoe UI Semilight" w:hAnsi="Segoe UI Semilight" w:cs="Segoe UI Semilight"/>
          <w:b/>
        </w:rPr>
        <w:t xml:space="preserve">e </w:t>
      </w:r>
      <w:r>
        <w:rPr>
          <w:rFonts w:ascii="Segoe UI Semilight" w:hAnsi="Segoe UI Semilight" w:cs="Segoe UI Semilight"/>
          <w:b/>
        </w:rPr>
        <w:t>na použitie elek</w:t>
      </w:r>
      <w:r w:rsidR="0036187E">
        <w:rPr>
          <w:rFonts w:ascii="Segoe UI Semilight" w:hAnsi="Segoe UI Semilight" w:cs="Segoe UI Semilight"/>
          <w:b/>
        </w:rPr>
        <w:t>triny, uhlia a zemného plynu tak pre producentov ako aj pre spotrebiteľov v oblasti ekológie, sociálnej oblasti</w:t>
      </w:r>
      <w:r w:rsidR="0036187E">
        <w:rPr>
          <w:rFonts w:ascii="Segoe UI Semilight" w:hAnsi="Segoe UI Semilight" w:cs="Segoe UI Semilight"/>
        </w:rPr>
        <w:t xml:space="preserve"> či pri energeticky náročných odvetviach.</w:t>
      </w:r>
      <w:r>
        <w:rPr>
          <w:rStyle w:val="Odkaznapoznmkupodiarou"/>
          <w:rFonts w:ascii="Segoe UI Semilight" w:hAnsi="Segoe UI Semilight" w:cs="Segoe UI Semilight"/>
        </w:rPr>
        <w:footnoteReference w:id="12"/>
      </w:r>
      <w:r>
        <w:rPr>
          <w:rFonts w:ascii="Segoe UI Semilight" w:hAnsi="Segoe UI Semilight" w:cs="Segoe UI Semilight"/>
        </w:rPr>
        <w:t xml:space="preserve"> Slovensko ako súčasť E</w:t>
      </w:r>
      <w:r w:rsidR="005376CA">
        <w:rPr>
          <w:rFonts w:ascii="Segoe UI Semilight" w:hAnsi="Segoe UI Semilight" w:cs="Segoe UI Semilight"/>
        </w:rPr>
        <w:t>urópskej únie</w:t>
      </w:r>
      <w:r>
        <w:rPr>
          <w:rFonts w:ascii="Segoe UI Semilight" w:hAnsi="Segoe UI Semilight" w:cs="Segoe UI Semilight"/>
        </w:rPr>
        <w:t xml:space="preserve"> zaviedlo obligatórne zvýhodnenia </w:t>
      </w:r>
      <w:r w:rsidR="003B5E5D">
        <w:rPr>
          <w:rFonts w:ascii="Segoe UI Semilight" w:hAnsi="Segoe UI Semilight" w:cs="Segoe UI Semilight"/>
        </w:rPr>
        <w:t xml:space="preserve">spotrebnej dane </w:t>
      </w:r>
      <w:r>
        <w:rPr>
          <w:rFonts w:ascii="Segoe UI Semilight" w:hAnsi="Segoe UI Semilight" w:cs="Segoe UI Semilight"/>
        </w:rPr>
        <w:t>(týkajúce sa najmä energeticky náročných podnikov) a </w:t>
      </w:r>
      <w:r w:rsidR="008F6563">
        <w:rPr>
          <w:rFonts w:ascii="Segoe UI Semilight" w:hAnsi="Segoe UI Semilight" w:cs="Segoe UI Semilight"/>
        </w:rPr>
        <w:t xml:space="preserve"> zároveň aj</w:t>
      </w:r>
      <w:r>
        <w:rPr>
          <w:rFonts w:ascii="Segoe UI Semilight" w:hAnsi="Segoe UI Semilight" w:cs="Segoe UI Semilight"/>
        </w:rPr>
        <w:t xml:space="preserve"> vlastné </w:t>
      </w:r>
      <w:r>
        <w:rPr>
          <w:rFonts w:ascii="Segoe UI Semilight" w:hAnsi="Segoe UI Semilight" w:cs="Segoe UI Semilight"/>
        </w:rPr>
        <w:lastRenderedPageBreak/>
        <w:t xml:space="preserve">fakultatívne oslobodenia </w:t>
      </w:r>
      <w:r w:rsidR="003B5E5D">
        <w:rPr>
          <w:rFonts w:ascii="Segoe UI Semilight" w:hAnsi="Segoe UI Semilight" w:cs="Segoe UI Semilight"/>
        </w:rPr>
        <w:t xml:space="preserve">od spotrebnej dane </w:t>
      </w:r>
      <w:r>
        <w:rPr>
          <w:rFonts w:ascii="Segoe UI Semilight" w:hAnsi="Segoe UI Semilight" w:cs="Segoe UI Semilight"/>
        </w:rPr>
        <w:t xml:space="preserve">(týkajúce sa najmä sociálnej a ekologickej oblasti). Vo všeobecnosti </w:t>
      </w:r>
      <w:r w:rsidR="00484E47">
        <w:rPr>
          <w:rFonts w:ascii="Segoe UI Semilight" w:hAnsi="Segoe UI Semilight" w:cs="Segoe UI Semilight"/>
        </w:rPr>
        <w:t xml:space="preserve">je možné </w:t>
      </w:r>
      <w:r>
        <w:rPr>
          <w:rFonts w:ascii="Segoe UI Semilight" w:hAnsi="Segoe UI Semilight" w:cs="Segoe UI Semilight"/>
        </w:rPr>
        <w:t>tieto oslobodenia rozdeliť na štyri časti</w:t>
      </w:r>
      <w:r w:rsidR="00484E47">
        <w:rPr>
          <w:rFonts w:ascii="Segoe UI Semilight" w:hAnsi="Segoe UI Semilight" w:cs="Segoe UI Semilight"/>
        </w:rPr>
        <w:t xml:space="preserve"> –</w:t>
      </w:r>
      <w:r>
        <w:rPr>
          <w:rFonts w:ascii="Segoe UI Semilight" w:hAnsi="Segoe UI Semilight" w:cs="Segoe UI Semilight"/>
        </w:rPr>
        <w:t xml:space="preserve"> produkciu a spotrebu v obligatórnych oslobodeniach spotrebnej dane a produkciu a spotrebu vo fakultatívnych oslobodeniach </w:t>
      </w:r>
      <w:r w:rsidR="00BD1A0B">
        <w:rPr>
          <w:rFonts w:ascii="Segoe UI Semilight" w:hAnsi="Segoe UI Semilight" w:cs="Segoe UI Semilight"/>
        </w:rPr>
        <w:t>spotrebnej dane (</w:t>
      </w:r>
      <w:r w:rsidR="00706AC0">
        <w:rPr>
          <w:rFonts w:ascii="Segoe UI Semilight" w:hAnsi="Segoe UI Semilight" w:cs="Segoe UI Semilight"/>
        </w:rPr>
        <w:t>podr</w:t>
      </w:r>
      <w:r w:rsidR="00460A14">
        <w:rPr>
          <w:rFonts w:ascii="Segoe UI Semilight" w:hAnsi="Segoe UI Semilight" w:cs="Segoe UI Semilight"/>
        </w:rPr>
        <w:t>o</w:t>
      </w:r>
      <w:r w:rsidR="00344945">
        <w:rPr>
          <w:rFonts w:ascii="Segoe UI Semilight" w:hAnsi="Segoe UI Semilight" w:cs="Segoe UI Semilight"/>
        </w:rPr>
        <w:t>bnejšie v prílohe</w:t>
      </w:r>
      <w:r w:rsidR="00BD1A0B">
        <w:rPr>
          <w:rFonts w:ascii="Segoe UI Semilight" w:hAnsi="Segoe UI Semilight" w:cs="Segoe UI Semilight"/>
        </w:rPr>
        <w:t xml:space="preserve"> č. 1</w:t>
      </w:r>
      <w:r w:rsidR="00CC1D06">
        <w:rPr>
          <w:rFonts w:ascii="Segoe UI Semilight" w:hAnsi="Segoe UI Semilight" w:cs="Segoe UI Semilight"/>
        </w:rPr>
        <w:t xml:space="preserve"> na strane 15</w:t>
      </w:r>
      <w:r w:rsidR="00BD1A0B">
        <w:rPr>
          <w:rFonts w:ascii="Segoe UI Semilight" w:hAnsi="Segoe UI Semilight" w:cs="Segoe UI Semilight"/>
        </w:rPr>
        <w:t>).</w:t>
      </w:r>
    </w:p>
    <w:p w14:paraId="2340878E" w14:textId="6B9474B3" w:rsidR="00B322AB" w:rsidRDefault="00C77264" w:rsidP="00B322AB">
      <w:pPr>
        <w:spacing w:after="0"/>
        <w:rPr>
          <w:rFonts w:ascii="Segoe UI Semilight" w:hAnsi="Segoe UI Semilight" w:cs="Segoe UI Semilight"/>
        </w:rPr>
      </w:pPr>
      <w:r w:rsidRPr="00B322AB">
        <w:rPr>
          <w:rFonts w:ascii="Segoe UI Semilight" w:hAnsi="Segoe UI Semilight" w:cs="Segoe UI Semilight"/>
        </w:rPr>
        <w:t>Naj</w:t>
      </w:r>
      <w:r>
        <w:rPr>
          <w:rFonts w:ascii="Segoe UI Semilight" w:hAnsi="Segoe UI Semilight" w:cs="Segoe UI Semilight"/>
        </w:rPr>
        <w:t>nižší</w:t>
      </w:r>
      <w:r w:rsidRPr="00B322AB">
        <w:rPr>
          <w:rFonts w:ascii="Segoe UI Semilight" w:hAnsi="Segoe UI Semilight" w:cs="Segoe UI Semilight"/>
        </w:rPr>
        <w:t xml:space="preserve"> </w:t>
      </w:r>
      <w:r w:rsidR="00B322AB" w:rsidRPr="00B322AB">
        <w:rPr>
          <w:rFonts w:ascii="Segoe UI Semilight" w:hAnsi="Segoe UI Semilight" w:cs="Segoe UI Semilight"/>
        </w:rPr>
        <w:t xml:space="preserve">objem daňových výdavkov bol </w:t>
      </w:r>
      <w:r w:rsidR="008C3E75">
        <w:rPr>
          <w:rFonts w:ascii="Segoe UI Semilight" w:hAnsi="Segoe UI Semilight" w:cs="Segoe UI Semilight"/>
        </w:rPr>
        <w:t xml:space="preserve">zaznamenaný </w:t>
      </w:r>
      <w:r w:rsidR="00B322AB" w:rsidRPr="00B322AB">
        <w:rPr>
          <w:rFonts w:ascii="Segoe UI Semilight" w:hAnsi="Segoe UI Semilight" w:cs="Segoe UI Semilight"/>
        </w:rPr>
        <w:t xml:space="preserve">pri </w:t>
      </w:r>
      <w:r w:rsidR="00B322AB" w:rsidRPr="00CB0979">
        <w:rPr>
          <w:rFonts w:ascii="Segoe UI Semilight" w:hAnsi="Segoe UI Semilight" w:cs="Segoe UI Semilight"/>
        </w:rPr>
        <w:t>elektrickej energii</w:t>
      </w:r>
      <w:r w:rsidR="00B322AB" w:rsidRPr="00B322AB">
        <w:rPr>
          <w:rFonts w:ascii="Segoe UI Semilight" w:hAnsi="Segoe UI Semilight" w:cs="Segoe UI Semilight"/>
        </w:rPr>
        <w:t xml:space="preserve">, </w:t>
      </w:r>
      <w:r>
        <w:rPr>
          <w:rFonts w:ascii="Segoe UI Semilight" w:hAnsi="Segoe UI Semilight" w:cs="Segoe UI Semilight"/>
        </w:rPr>
        <w:t>najmä</w:t>
      </w:r>
      <w:r w:rsidR="0002382F">
        <w:rPr>
          <w:rFonts w:ascii="Segoe UI Semilight" w:hAnsi="Segoe UI Semilight" w:cs="Segoe UI Semilight"/>
        </w:rPr>
        <w:t xml:space="preserve"> </w:t>
      </w:r>
      <w:r w:rsidR="008F6563" w:rsidRPr="00B322AB">
        <w:rPr>
          <w:rFonts w:ascii="Segoe UI Semilight" w:hAnsi="Segoe UI Semilight" w:cs="Segoe UI Semilight"/>
        </w:rPr>
        <w:t>elektrick</w:t>
      </w:r>
      <w:r w:rsidR="008F6563">
        <w:rPr>
          <w:rFonts w:ascii="Segoe UI Semilight" w:hAnsi="Segoe UI Semilight" w:cs="Segoe UI Semilight"/>
        </w:rPr>
        <w:t>ej</w:t>
      </w:r>
      <w:r w:rsidR="008F6563" w:rsidRPr="00B322AB">
        <w:rPr>
          <w:rFonts w:ascii="Segoe UI Semilight" w:hAnsi="Segoe UI Semilight" w:cs="Segoe UI Semilight"/>
        </w:rPr>
        <w:t xml:space="preserve"> energi</w:t>
      </w:r>
      <w:r w:rsidR="008F6563">
        <w:rPr>
          <w:rFonts w:ascii="Segoe UI Semilight" w:hAnsi="Segoe UI Semilight" w:cs="Segoe UI Semilight"/>
        </w:rPr>
        <w:t>i</w:t>
      </w:r>
      <w:r w:rsidR="008F6563" w:rsidRPr="00B322AB">
        <w:rPr>
          <w:rFonts w:ascii="Segoe UI Semilight" w:hAnsi="Segoe UI Semilight" w:cs="Segoe UI Semilight"/>
        </w:rPr>
        <w:t xml:space="preserve"> využívan</w:t>
      </w:r>
      <w:r w:rsidR="008F6563">
        <w:rPr>
          <w:rFonts w:ascii="Segoe UI Semilight" w:hAnsi="Segoe UI Semilight" w:cs="Segoe UI Semilight"/>
        </w:rPr>
        <w:t>ej</w:t>
      </w:r>
      <w:r w:rsidR="008F6563" w:rsidRPr="00B322AB">
        <w:rPr>
          <w:rFonts w:ascii="Segoe UI Semilight" w:hAnsi="Segoe UI Semilight" w:cs="Segoe UI Semilight"/>
        </w:rPr>
        <w:t xml:space="preserve"> </w:t>
      </w:r>
      <w:r w:rsidR="00B322AB" w:rsidRPr="00B322AB">
        <w:rPr>
          <w:rFonts w:ascii="Segoe UI Semilight" w:hAnsi="Segoe UI Semilight" w:cs="Segoe UI Semilight"/>
        </w:rPr>
        <w:t xml:space="preserve">v domácnostiach, doprave a priemyselnej výrobe. Ustálený objem daňových výdavkov bol </w:t>
      </w:r>
      <w:r w:rsidR="00F223FA">
        <w:rPr>
          <w:rFonts w:ascii="Segoe UI Semilight" w:hAnsi="Segoe UI Semilight" w:cs="Segoe UI Semilight"/>
        </w:rPr>
        <w:t xml:space="preserve">zaznamenaný </w:t>
      </w:r>
      <w:r w:rsidR="00B322AB" w:rsidRPr="00B322AB">
        <w:rPr>
          <w:rFonts w:ascii="Segoe UI Semilight" w:hAnsi="Segoe UI Semilight" w:cs="Segoe UI Semilight"/>
        </w:rPr>
        <w:t xml:space="preserve">pri </w:t>
      </w:r>
      <w:r w:rsidR="00B322AB" w:rsidRPr="00CB0979">
        <w:rPr>
          <w:rFonts w:ascii="Segoe UI Semilight" w:hAnsi="Segoe UI Semilight" w:cs="Segoe UI Semilight"/>
        </w:rPr>
        <w:t>zemnom plyne</w:t>
      </w:r>
      <w:r w:rsidR="00B322AB" w:rsidRPr="00B322AB">
        <w:rPr>
          <w:rFonts w:ascii="Segoe UI Semilight" w:hAnsi="Segoe UI Semilight" w:cs="Segoe UI Semilight"/>
        </w:rPr>
        <w:t xml:space="preserve">, najmä pre zemný plyn </w:t>
      </w:r>
      <w:r w:rsidR="009804CE">
        <w:rPr>
          <w:rFonts w:ascii="Segoe UI Semilight" w:hAnsi="Segoe UI Semilight" w:cs="Segoe UI Semilight"/>
        </w:rPr>
        <w:t>využívaný v</w:t>
      </w:r>
      <w:r w:rsidR="00F223FA" w:rsidRPr="00B322AB">
        <w:rPr>
          <w:rFonts w:ascii="Segoe UI Semilight" w:hAnsi="Segoe UI Semilight" w:cs="Segoe UI Semilight"/>
        </w:rPr>
        <w:t xml:space="preserve"> </w:t>
      </w:r>
      <w:r w:rsidR="00B322AB" w:rsidRPr="00B322AB">
        <w:rPr>
          <w:rFonts w:ascii="Segoe UI Semilight" w:hAnsi="Segoe UI Semilight" w:cs="Segoe UI Semilight"/>
        </w:rPr>
        <w:t>KVET a</w:t>
      </w:r>
      <w:r w:rsidR="00F223FA">
        <w:rPr>
          <w:rFonts w:ascii="Segoe UI Semilight" w:hAnsi="Segoe UI Semilight" w:cs="Segoe UI Semilight"/>
        </w:rPr>
        <w:t xml:space="preserve"> v </w:t>
      </w:r>
      <w:r w:rsidR="00B322AB" w:rsidRPr="00B322AB">
        <w:rPr>
          <w:rFonts w:ascii="Segoe UI Semilight" w:hAnsi="Segoe UI Semilight" w:cs="Segoe UI Semilight"/>
        </w:rPr>
        <w:t>priemys</w:t>
      </w:r>
      <w:r w:rsidR="00F223FA">
        <w:rPr>
          <w:rFonts w:ascii="Segoe UI Semilight" w:hAnsi="Segoe UI Semilight" w:cs="Segoe UI Semilight"/>
        </w:rPr>
        <w:t>le</w:t>
      </w:r>
      <w:r w:rsidR="00B322AB" w:rsidRPr="00B322AB">
        <w:rPr>
          <w:rFonts w:ascii="Segoe UI Semilight" w:hAnsi="Segoe UI Semilight" w:cs="Segoe UI Semilight"/>
        </w:rPr>
        <w:t>. Najvyšší</w:t>
      </w:r>
      <w:r w:rsidR="00CB0979">
        <w:rPr>
          <w:rFonts w:ascii="Segoe UI Semilight" w:hAnsi="Segoe UI Semilight" w:cs="Segoe UI Semilight"/>
        </w:rPr>
        <w:t xml:space="preserve"> objem daňových výdavkov bol</w:t>
      </w:r>
      <w:r w:rsidR="00F223FA">
        <w:rPr>
          <w:rFonts w:ascii="Segoe UI Semilight" w:hAnsi="Segoe UI Semilight" w:cs="Segoe UI Semilight"/>
        </w:rPr>
        <w:t xml:space="preserve"> zaznamenaný </w:t>
      </w:r>
      <w:r w:rsidR="00F223FA" w:rsidRPr="00CB0979">
        <w:rPr>
          <w:rFonts w:ascii="Segoe UI Semilight" w:hAnsi="Segoe UI Semilight" w:cs="Segoe UI Semilight"/>
        </w:rPr>
        <w:t xml:space="preserve">pri </w:t>
      </w:r>
      <w:r w:rsidR="00B322AB" w:rsidRPr="00CB0979">
        <w:rPr>
          <w:rFonts w:ascii="Segoe UI Semilight" w:hAnsi="Segoe UI Semilight" w:cs="Segoe UI Semilight"/>
        </w:rPr>
        <w:t>uhlí</w:t>
      </w:r>
      <w:r w:rsidR="00B322AB" w:rsidRPr="00B322AB">
        <w:rPr>
          <w:rFonts w:ascii="Segoe UI Semilight" w:hAnsi="Segoe UI Semilight" w:cs="Segoe UI Semilight"/>
        </w:rPr>
        <w:t xml:space="preserve">, </w:t>
      </w:r>
      <w:r w:rsidR="008F6563">
        <w:rPr>
          <w:rFonts w:ascii="Segoe UI Semilight" w:hAnsi="Segoe UI Semilight" w:cs="Segoe UI Semilight"/>
        </w:rPr>
        <w:t>najmä pri</w:t>
      </w:r>
      <w:r w:rsidR="00B322AB" w:rsidRPr="00B322AB">
        <w:rPr>
          <w:rFonts w:ascii="Segoe UI Semilight" w:hAnsi="Segoe UI Semilight" w:cs="Segoe UI Semilight"/>
        </w:rPr>
        <w:t xml:space="preserve"> podpor</w:t>
      </w:r>
      <w:r w:rsidR="00C77231">
        <w:rPr>
          <w:rFonts w:ascii="Segoe UI Semilight" w:hAnsi="Segoe UI Semilight" w:cs="Segoe UI Semilight"/>
        </w:rPr>
        <w:t>e</w:t>
      </w:r>
      <w:r w:rsidR="00B322AB" w:rsidRPr="00B322AB">
        <w:rPr>
          <w:rFonts w:ascii="Segoe UI Semilight" w:hAnsi="Segoe UI Semilight" w:cs="Segoe UI Semilight"/>
        </w:rPr>
        <w:t xml:space="preserve"> uhlia </w:t>
      </w:r>
      <w:r w:rsidR="0074511D">
        <w:rPr>
          <w:rFonts w:ascii="Segoe UI Semilight" w:hAnsi="Segoe UI Semilight" w:cs="Segoe UI Semilight"/>
        </w:rPr>
        <w:t>využívaného v KVET</w:t>
      </w:r>
      <w:r w:rsidR="00B322AB" w:rsidRPr="00B322AB">
        <w:rPr>
          <w:rFonts w:ascii="Segoe UI Semilight" w:hAnsi="Segoe UI Semilight" w:cs="Segoe UI Semilight"/>
        </w:rPr>
        <w:t>.</w:t>
      </w:r>
    </w:p>
    <w:p w14:paraId="394DF68E" w14:textId="41BF885E" w:rsidR="00270E7B" w:rsidRDefault="00270E7B" w:rsidP="00B322AB">
      <w:pPr>
        <w:spacing w:after="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  <w:b/>
        </w:rPr>
        <w:t>V oblasti dobývania a ťažby fosílnych palív Slovensko podporovalo podniky na ťažbu z hnedého uhlia, ktoré majú zníženú sadzbu za ťažené nerasty z 2 % na 0,1 %.</w:t>
      </w:r>
      <w:r>
        <w:rPr>
          <w:rFonts w:ascii="Segoe UI Semilight" w:hAnsi="Segoe UI Semilight" w:cs="Segoe UI Semilight"/>
        </w:rPr>
        <w:t xml:space="preserve"> Táto štátna podpora vykazovala klesajúci trend za obdobie rokov 2016 – 2021 (pokles o 23,8 % po vyradení extrému v roku 2021). Hlavnou príčinou je znížená ťažba tuhých látok v banskobystrickom Obvodnom banskom úrade (ďalej len „OBÚ“) priemerne o 59 % medzi rokmi 2016 až 2020. Priemerný medziročný pokles dosiahol viac ako 6 %. </w:t>
      </w:r>
      <w:r w:rsidRPr="00183794">
        <w:rPr>
          <w:rFonts w:ascii="Segoe UI Semilight" w:hAnsi="Segoe UI Semilight" w:cs="Segoe UI Semilight"/>
        </w:rPr>
        <w:t xml:space="preserve">Približne 88 % celkovej úľavy zo sadzby vydobytých nerastov smerovalo banskobystrickému OBÚ, ktorý spravuje dobývacie priestory Cigeľ, Handlová a Nováky. Výnimkou </w:t>
      </w:r>
      <w:r>
        <w:rPr>
          <w:rFonts w:ascii="Segoe UI Semilight" w:hAnsi="Segoe UI Semilight" w:cs="Segoe UI Semilight"/>
        </w:rPr>
        <w:t>bol</w:t>
      </w:r>
      <w:r w:rsidRPr="00183794">
        <w:rPr>
          <w:rFonts w:ascii="Segoe UI Semilight" w:hAnsi="Segoe UI Semilight" w:cs="Segoe UI Semilight"/>
        </w:rPr>
        <w:t xml:space="preserve"> rok 2021, kedy úľava vznikla len pri dobývacom priestore Gbely spadajúc</w:t>
      </w:r>
      <w:r>
        <w:rPr>
          <w:rFonts w:ascii="Segoe UI Semilight" w:hAnsi="Segoe UI Semilight" w:cs="Segoe UI Semilight"/>
        </w:rPr>
        <w:t>om</w:t>
      </w:r>
      <w:r w:rsidRPr="00183794">
        <w:rPr>
          <w:rFonts w:ascii="Segoe UI Semilight" w:hAnsi="Segoe UI Semilight" w:cs="Segoe UI Semilight"/>
        </w:rPr>
        <w:t xml:space="preserve"> pod bratislavský OBÚ</w:t>
      </w:r>
      <w:r>
        <w:rPr>
          <w:rFonts w:ascii="Segoe UI Semilight" w:hAnsi="Segoe UI Semilight" w:cs="Segoe UI Semilight"/>
        </w:rPr>
        <w:t>.</w:t>
      </w:r>
    </w:p>
    <w:p w14:paraId="6BE3D2FF" w14:textId="57CAB67D" w:rsidR="00B322AB" w:rsidRPr="00B322AB" w:rsidRDefault="00B322AB" w:rsidP="00B322AB">
      <w:pPr>
        <w:spacing w:after="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Do konečného </w:t>
      </w:r>
      <w:r w:rsidR="008C3E75">
        <w:rPr>
          <w:rFonts w:ascii="Segoe UI Semilight" w:hAnsi="Segoe UI Semilight" w:cs="Segoe UI Semilight"/>
        </w:rPr>
        <w:t xml:space="preserve">indikátora </w:t>
      </w:r>
      <w:r>
        <w:rPr>
          <w:rFonts w:ascii="Segoe UI Semilight" w:hAnsi="Segoe UI Semilight" w:cs="Segoe UI Semilight"/>
        </w:rPr>
        <w:t>nebol zahrnutý</w:t>
      </w:r>
      <w:r w:rsidR="00C77231">
        <w:rPr>
          <w:rFonts w:ascii="Segoe UI Semilight" w:hAnsi="Segoe UI Semilight" w:cs="Segoe UI Semilight"/>
        </w:rPr>
        <w:t>,</w:t>
      </w:r>
      <w:r>
        <w:rPr>
          <w:rFonts w:ascii="Segoe UI Semilight" w:hAnsi="Segoe UI Semilight" w:cs="Segoe UI Semilight"/>
        </w:rPr>
        <w:t xml:space="preserve"> kvôli </w:t>
      </w:r>
      <w:r w:rsidR="006919DA">
        <w:rPr>
          <w:rFonts w:ascii="Segoe UI Semilight" w:hAnsi="Segoe UI Semilight" w:cs="Segoe UI Semilight"/>
        </w:rPr>
        <w:t>chýbajúcim dátam</w:t>
      </w:r>
      <w:r>
        <w:rPr>
          <w:rFonts w:ascii="Segoe UI Semilight" w:hAnsi="Segoe UI Semilight" w:cs="Segoe UI Semilight"/>
        </w:rPr>
        <w:t xml:space="preserve"> a malým vplyvom</w:t>
      </w:r>
      <w:r w:rsidR="006919DA">
        <w:rPr>
          <w:rFonts w:ascii="Segoe UI Semilight" w:hAnsi="Segoe UI Semilight" w:cs="Segoe UI Semilight"/>
        </w:rPr>
        <w:t xml:space="preserve"> na celkový indikátor</w:t>
      </w:r>
      <w:r w:rsidR="00C77231">
        <w:rPr>
          <w:rFonts w:ascii="Segoe UI Semilight" w:hAnsi="Segoe UI Semilight" w:cs="Segoe UI Semilight"/>
        </w:rPr>
        <w:t>,</w:t>
      </w:r>
      <w:r>
        <w:rPr>
          <w:rFonts w:ascii="Segoe UI Semilight" w:hAnsi="Segoe UI Semilight" w:cs="Segoe UI Semilight"/>
        </w:rPr>
        <w:t xml:space="preserve"> poplatok za znečisťovanie ovzdušia</w:t>
      </w:r>
      <w:r w:rsidR="0074511D">
        <w:rPr>
          <w:rFonts w:ascii="Segoe UI Semilight" w:hAnsi="Segoe UI Semilight" w:cs="Segoe UI Semilight"/>
        </w:rPr>
        <w:t>.</w:t>
      </w:r>
      <w:r>
        <w:rPr>
          <w:rFonts w:ascii="Segoe UI Semilight" w:hAnsi="Segoe UI Semilight" w:cs="Segoe UI Semilight"/>
        </w:rPr>
        <w:t xml:space="preserve"> </w:t>
      </w:r>
      <w:r w:rsidR="0074511D">
        <w:rPr>
          <w:rFonts w:ascii="Segoe UI Semilight" w:hAnsi="Segoe UI Semilight" w:cs="Segoe UI Semilight"/>
        </w:rPr>
        <w:t>S</w:t>
      </w:r>
      <w:r>
        <w:rPr>
          <w:rFonts w:ascii="Segoe UI Semilight" w:hAnsi="Segoe UI Semilight" w:cs="Segoe UI Semilight"/>
        </w:rPr>
        <w:t>ubjekty používajúce hnedé uhlie v množstve nad 30</w:t>
      </w:r>
      <w:r w:rsidR="005C5F77">
        <w:rPr>
          <w:rFonts w:ascii="Segoe UI Semilight" w:hAnsi="Segoe UI Semilight" w:cs="Segoe UI Semilight"/>
        </w:rPr>
        <w:t xml:space="preserve"> </w:t>
      </w:r>
      <w:r>
        <w:rPr>
          <w:rFonts w:ascii="Segoe UI Semilight" w:hAnsi="Segoe UI Semilight" w:cs="Segoe UI Semilight"/>
        </w:rPr>
        <w:t>% ročnej spotreby majú znížený kompenzačný koeficient vstupujúci do výpočtu za znečisťovanie ovzdušia z 1,0 na 0,7. Počet subjektov uplatňujúci znížený koeficient postupne klesá a v nominálnom vyjadrení ide o</w:t>
      </w:r>
      <w:r w:rsidR="00CF2985">
        <w:rPr>
          <w:rFonts w:ascii="Segoe UI Semilight" w:hAnsi="Segoe UI Semilight" w:cs="Segoe UI Semilight"/>
        </w:rPr>
        <w:t xml:space="preserve"> dotácie v objeme </w:t>
      </w:r>
      <w:r w:rsidR="00931E59">
        <w:rPr>
          <w:rFonts w:ascii="Segoe UI Semilight" w:hAnsi="Segoe UI Semilight" w:cs="Segoe UI Semilight"/>
        </w:rPr>
        <w:t>tisícok</w:t>
      </w:r>
      <w:r>
        <w:rPr>
          <w:rFonts w:ascii="Segoe UI Semilight" w:hAnsi="Segoe UI Semilight" w:cs="Segoe UI Semilight"/>
        </w:rPr>
        <w:t xml:space="preserve"> eur. </w:t>
      </w:r>
    </w:p>
    <w:p w14:paraId="1E0751C1" w14:textId="1C14CC0C" w:rsidR="003641AF" w:rsidRDefault="00822207" w:rsidP="001313AF">
      <w:pPr>
        <w:pStyle w:val="Nadpis2"/>
        <w:spacing w:before="240"/>
      </w:pPr>
      <w:bookmarkStart w:id="10" w:name="_Toc121990625"/>
      <w:bookmarkStart w:id="11" w:name="_Toc121993848"/>
      <w:r>
        <w:t>Nepriame dotácie</w:t>
      </w:r>
      <w:r w:rsidR="00E90D2C">
        <w:t xml:space="preserve"> na fosílne palivá v SR</w:t>
      </w:r>
      <w:bookmarkEnd w:id="10"/>
      <w:bookmarkEnd w:id="11"/>
    </w:p>
    <w:p w14:paraId="5D6BEE68" w14:textId="77777777" w:rsidR="003461BF" w:rsidRDefault="00B322AB" w:rsidP="00B322AB">
      <w:pPr>
        <w:spacing w:after="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  <w:b/>
        </w:rPr>
        <w:t xml:space="preserve">Pod </w:t>
      </w:r>
      <w:r w:rsidR="00005503">
        <w:rPr>
          <w:rFonts w:ascii="Segoe UI Semilight" w:hAnsi="Segoe UI Semilight" w:cs="Segoe UI Semilight"/>
          <w:b/>
        </w:rPr>
        <w:t xml:space="preserve">nepriame dotácie </w:t>
      </w:r>
      <w:r>
        <w:rPr>
          <w:rFonts w:ascii="Segoe UI Semilight" w:hAnsi="Segoe UI Semilight" w:cs="Segoe UI Semilight"/>
          <w:b/>
        </w:rPr>
        <w:t>patrí cenová podpora vybraných subjektov</w:t>
      </w:r>
      <w:r>
        <w:rPr>
          <w:rFonts w:ascii="Segoe UI Semilight" w:hAnsi="Segoe UI Semilight" w:cs="Segoe UI Semilight"/>
        </w:rPr>
        <w:t xml:space="preserve">. Do nej </w:t>
      </w:r>
      <w:r w:rsidR="00C77231">
        <w:rPr>
          <w:rFonts w:ascii="Segoe UI Semilight" w:hAnsi="Segoe UI Semilight" w:cs="Segoe UI Semilight"/>
        </w:rPr>
        <w:t>sa zaraďujú</w:t>
      </w:r>
      <w:r w:rsidR="003461BF">
        <w:rPr>
          <w:rFonts w:ascii="Segoe UI Semilight" w:hAnsi="Segoe UI Semilight" w:cs="Segoe UI Semilight"/>
        </w:rPr>
        <w:t>:</w:t>
      </w:r>
    </w:p>
    <w:p w14:paraId="5B52D287" w14:textId="58A26DBD" w:rsidR="003461BF" w:rsidRDefault="00B322AB" w:rsidP="003461BF">
      <w:pPr>
        <w:pStyle w:val="Odsekzoznamu"/>
        <w:numPr>
          <w:ilvl w:val="0"/>
          <w:numId w:val="39"/>
        </w:numPr>
        <w:spacing w:after="0"/>
        <w:ind w:left="714" w:hanging="357"/>
        <w:rPr>
          <w:rFonts w:ascii="Segoe UI Semilight" w:hAnsi="Segoe UI Semilight" w:cs="Segoe UI Semilight"/>
        </w:rPr>
      </w:pPr>
      <w:r w:rsidRPr="003461BF">
        <w:rPr>
          <w:rFonts w:ascii="Segoe UI Semilight" w:hAnsi="Segoe UI Semilight" w:cs="Segoe UI Semilight"/>
        </w:rPr>
        <w:t>povinné výkupné tarify na použ</w:t>
      </w:r>
      <w:r w:rsidR="003461BF">
        <w:rPr>
          <w:rFonts w:ascii="Segoe UI Semilight" w:hAnsi="Segoe UI Semilight" w:cs="Segoe UI Semilight"/>
        </w:rPr>
        <w:t>itie konkrétneho druhu energie,</w:t>
      </w:r>
    </w:p>
    <w:p w14:paraId="21A0C053" w14:textId="77777777" w:rsidR="003461BF" w:rsidRDefault="00B322AB" w:rsidP="003461BF">
      <w:pPr>
        <w:pStyle w:val="Odsekzoznamu"/>
        <w:numPr>
          <w:ilvl w:val="0"/>
          <w:numId w:val="39"/>
        </w:numPr>
        <w:spacing w:after="0"/>
        <w:ind w:left="714" w:hanging="357"/>
        <w:rPr>
          <w:rFonts w:ascii="Segoe UI Semilight" w:hAnsi="Segoe UI Semilight" w:cs="Segoe UI Semilight"/>
        </w:rPr>
      </w:pPr>
      <w:r w:rsidRPr="003461BF">
        <w:rPr>
          <w:rFonts w:ascii="Segoe UI Semilight" w:hAnsi="Segoe UI Semilight" w:cs="Segoe UI Semilight"/>
        </w:rPr>
        <w:t>colné a netarifné</w:t>
      </w:r>
      <w:r w:rsidR="003461BF">
        <w:rPr>
          <w:rFonts w:ascii="Segoe UI Semilight" w:hAnsi="Segoe UI Semilight" w:cs="Segoe UI Semilight"/>
        </w:rPr>
        <w:t xml:space="preserve"> opatrenia dovozu alebo vývozu,</w:t>
      </w:r>
    </w:p>
    <w:p w14:paraId="53F429BB" w14:textId="77777777" w:rsidR="003461BF" w:rsidRDefault="00B322AB" w:rsidP="003461BF">
      <w:pPr>
        <w:pStyle w:val="Odsekzoznamu"/>
        <w:numPr>
          <w:ilvl w:val="0"/>
          <w:numId w:val="39"/>
        </w:numPr>
        <w:spacing w:after="0"/>
        <w:ind w:left="714" w:hanging="357"/>
        <w:rPr>
          <w:rFonts w:ascii="Segoe UI Semilight" w:hAnsi="Segoe UI Semilight" w:cs="Segoe UI Semilight"/>
        </w:rPr>
      </w:pPr>
      <w:r w:rsidRPr="003461BF">
        <w:rPr>
          <w:rFonts w:ascii="Segoe UI Semilight" w:hAnsi="Segoe UI Semilight" w:cs="Segoe UI Semilight"/>
        </w:rPr>
        <w:t>regulované ceny</w:t>
      </w:r>
      <w:r w:rsidR="005C5F77">
        <w:rPr>
          <w:rStyle w:val="Odkaznapoznmkupodiarou"/>
          <w:rFonts w:ascii="Segoe UI Semilight" w:hAnsi="Segoe UI Semilight" w:cs="Segoe UI Semilight"/>
        </w:rPr>
        <w:footnoteReference w:id="13"/>
      </w:r>
      <w:r w:rsidRPr="003461BF">
        <w:rPr>
          <w:rFonts w:ascii="Segoe UI Semilight" w:hAnsi="Segoe UI Semilight" w:cs="Segoe UI Semilight"/>
        </w:rPr>
        <w:t xml:space="preserve"> na strane spotr</w:t>
      </w:r>
      <w:r w:rsidR="003461BF">
        <w:rPr>
          <w:rFonts w:ascii="Segoe UI Semilight" w:hAnsi="Segoe UI Semilight" w:cs="Segoe UI Semilight"/>
        </w:rPr>
        <w:t xml:space="preserve">ebiteľov aj na strane výrobcov- </w:t>
      </w:r>
      <w:r w:rsidRPr="003461BF">
        <w:rPr>
          <w:rFonts w:ascii="Segoe UI Semilight" w:hAnsi="Segoe UI Semilight" w:cs="Segoe UI Semilight"/>
        </w:rPr>
        <w:t xml:space="preserve">pri spotrebiteľovi ide o nižšie ako trhové sadzby, pri výrobcovi </w:t>
      </w:r>
      <w:r w:rsidR="00C534CE" w:rsidRPr="003461BF">
        <w:rPr>
          <w:rFonts w:ascii="Segoe UI Semilight" w:hAnsi="Segoe UI Semilight" w:cs="Segoe UI Semilight"/>
        </w:rPr>
        <w:t xml:space="preserve">zase </w:t>
      </w:r>
      <w:r w:rsidR="0074511D" w:rsidRPr="003461BF">
        <w:rPr>
          <w:rFonts w:ascii="Segoe UI Semilight" w:hAnsi="Segoe UI Semilight" w:cs="Segoe UI Semilight"/>
        </w:rPr>
        <w:t xml:space="preserve">o </w:t>
      </w:r>
      <w:r w:rsidRPr="003461BF">
        <w:rPr>
          <w:rFonts w:ascii="Segoe UI Semilight" w:hAnsi="Segoe UI Semilight" w:cs="Segoe UI Semilight"/>
        </w:rPr>
        <w:t xml:space="preserve">vyššie </w:t>
      </w:r>
      <w:r w:rsidR="0074511D" w:rsidRPr="003461BF">
        <w:rPr>
          <w:rFonts w:ascii="Segoe UI Semilight" w:hAnsi="Segoe UI Semilight" w:cs="Segoe UI Semilight"/>
        </w:rPr>
        <w:t xml:space="preserve">ceny </w:t>
      </w:r>
      <w:r w:rsidR="003461BF">
        <w:rPr>
          <w:rFonts w:ascii="Segoe UI Semilight" w:hAnsi="Segoe UI Semilight" w:cs="Segoe UI Semilight"/>
        </w:rPr>
        <w:t xml:space="preserve">ako trhové, a to </w:t>
      </w:r>
      <w:r w:rsidRPr="003461BF">
        <w:rPr>
          <w:rFonts w:ascii="Segoe UI Semilight" w:hAnsi="Segoe UI Semilight" w:cs="Segoe UI Semilight"/>
        </w:rPr>
        <w:t>aj bez pr</w:t>
      </w:r>
      <w:r w:rsidR="003461BF">
        <w:rPr>
          <w:rFonts w:ascii="Segoe UI Semilight" w:hAnsi="Segoe UI Semilight" w:cs="Segoe UI Semilight"/>
        </w:rPr>
        <w:t>iamej finančnej podpory vlády,</w:t>
      </w:r>
    </w:p>
    <w:p w14:paraId="53B47AB8" w14:textId="77AEC42E" w:rsidR="003461BF" w:rsidRDefault="004F30E9" w:rsidP="003461BF">
      <w:pPr>
        <w:pStyle w:val="Odsekzoznamu"/>
        <w:numPr>
          <w:ilvl w:val="0"/>
          <w:numId w:val="39"/>
        </w:numPr>
        <w:spacing w:after="0"/>
        <w:ind w:left="714" w:hanging="357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krížové dotácie </w:t>
      </w:r>
      <w:r w:rsidR="003461BF">
        <w:rPr>
          <w:rFonts w:ascii="Segoe UI Semilight" w:hAnsi="Segoe UI Semilight" w:cs="Segoe UI Semilight"/>
        </w:rPr>
        <w:t>v</w:t>
      </w:r>
      <w:r w:rsidR="00C534CE" w:rsidRPr="003461BF">
        <w:rPr>
          <w:rFonts w:ascii="Segoe UI Semilight" w:hAnsi="Segoe UI Semilight" w:cs="Segoe UI Semilight"/>
        </w:rPr>
        <w:t> </w:t>
      </w:r>
      <w:r w:rsidR="00B322AB" w:rsidRPr="003461BF">
        <w:rPr>
          <w:rFonts w:ascii="Segoe UI Semilight" w:hAnsi="Segoe UI Semilight" w:cs="Segoe UI Semilight"/>
        </w:rPr>
        <w:t>sektore elektriny</w:t>
      </w:r>
      <w:r>
        <w:rPr>
          <w:rStyle w:val="Odkaznapoznmkupodiarou"/>
          <w:rFonts w:ascii="Segoe UI Semilight" w:hAnsi="Segoe UI Semilight" w:cs="Segoe UI Semilight"/>
        </w:rPr>
        <w:footnoteReference w:id="14"/>
      </w:r>
      <w:r w:rsidR="003461BF">
        <w:rPr>
          <w:rFonts w:ascii="Segoe UI Semilight" w:hAnsi="Segoe UI Semilight" w:cs="Segoe UI Semilight"/>
        </w:rPr>
        <w:t>.</w:t>
      </w:r>
    </w:p>
    <w:p w14:paraId="5F3DCA05" w14:textId="5EED6124" w:rsidR="00931E59" w:rsidRPr="003461BF" w:rsidRDefault="00D86F19" w:rsidP="003461BF">
      <w:pPr>
        <w:spacing w:after="0"/>
        <w:rPr>
          <w:rFonts w:ascii="Segoe UI Semilight" w:hAnsi="Segoe UI Semilight" w:cs="Segoe UI Semilight"/>
        </w:rPr>
      </w:pPr>
      <w:r w:rsidRPr="003461BF">
        <w:rPr>
          <w:rFonts w:ascii="Segoe UI Semilight" w:hAnsi="Segoe UI Semilight" w:cs="Segoe UI Semilight"/>
        </w:rPr>
        <w:t xml:space="preserve">Na základe </w:t>
      </w:r>
      <w:r w:rsidR="00C534CE" w:rsidRPr="003461BF">
        <w:rPr>
          <w:rFonts w:ascii="Segoe UI Semilight" w:hAnsi="Segoe UI Semilight" w:cs="Segoe UI Semilight"/>
        </w:rPr>
        <w:t xml:space="preserve">definície </w:t>
      </w:r>
      <w:r w:rsidRPr="003461BF">
        <w:rPr>
          <w:rFonts w:ascii="Segoe UI Semilight" w:hAnsi="Segoe UI Semilight" w:cs="Segoe UI Semilight"/>
        </w:rPr>
        <w:t xml:space="preserve">nepriamych dotácií OSN </w:t>
      </w:r>
      <w:r w:rsidR="00B322AB" w:rsidRPr="003461BF">
        <w:rPr>
          <w:rFonts w:ascii="Segoe UI Semilight" w:hAnsi="Segoe UI Semilight" w:cs="Segoe UI Semilight"/>
        </w:rPr>
        <w:t xml:space="preserve">je možné </w:t>
      </w:r>
      <w:r w:rsidRPr="003461BF">
        <w:rPr>
          <w:rFonts w:ascii="Segoe UI Semilight" w:hAnsi="Segoe UI Semilight" w:cs="Segoe UI Semilight"/>
        </w:rPr>
        <w:t xml:space="preserve">ich </w:t>
      </w:r>
      <w:r w:rsidR="00B322AB" w:rsidRPr="003461BF">
        <w:rPr>
          <w:rFonts w:ascii="Segoe UI Semilight" w:hAnsi="Segoe UI Semilight" w:cs="Segoe UI Semilight"/>
        </w:rPr>
        <w:t xml:space="preserve">rozdeliť na cenové zvýhodnenia a na regulované ceny. Viac ako polovica pomoci smerovala do podpory elektriny v priemysle a druhou najvýznamnejšou pomocou boli regulované ceny pre zraniteľných odberateľov. </w:t>
      </w:r>
    </w:p>
    <w:p w14:paraId="5E7D525A" w14:textId="283F8142" w:rsidR="00B322AB" w:rsidRDefault="00B322AB" w:rsidP="001313AF">
      <w:pPr>
        <w:pStyle w:val="Popis"/>
        <w:keepNext/>
        <w:spacing w:before="120" w:after="0"/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</w:pPr>
      <w:r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lastRenderedPageBreak/>
        <w:t xml:space="preserve">Graf 4: Vývoj nepriamych </w:t>
      </w:r>
      <w:r w:rsidRPr="00B322AB"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t>dotácií (</w:t>
      </w:r>
      <w:r w:rsidR="00E764B1"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t xml:space="preserve">v </w:t>
      </w:r>
      <w:r w:rsidRPr="00B322AB"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t>mil. eur)</w:t>
      </w:r>
    </w:p>
    <w:tbl>
      <w:tblPr>
        <w:tblStyle w:val="Mriekatabuky"/>
        <w:tblW w:w="0" w:type="auto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34379B" w14:paraId="1C5A8FC1" w14:textId="77777777" w:rsidTr="00577625">
        <w:tc>
          <w:tcPr>
            <w:tcW w:w="4700" w:type="dxa"/>
          </w:tcPr>
          <w:p w14:paraId="404B6D7C" w14:textId="1F42A3E0" w:rsidR="0034379B" w:rsidRDefault="00577625" w:rsidP="007B3A3F">
            <w:pPr>
              <w:rPr>
                <w:rStyle w:val="Odkaznakomentr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5A959B52" wp14:editId="3594A2AF">
                  <wp:extent cx="2880000" cy="1756800"/>
                  <wp:effectExtent l="0" t="0" r="0" b="0"/>
                  <wp:docPr id="23" name="Graf 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4372" w:type="dxa"/>
          </w:tcPr>
          <w:p w14:paraId="28B3FF6C" w14:textId="299158CD" w:rsidR="0034379B" w:rsidRDefault="00577625" w:rsidP="007B3A3F">
            <w:pPr>
              <w:rPr>
                <w:rStyle w:val="Odkaznakomentr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48088AC3" wp14:editId="14FDCD30">
                  <wp:extent cx="2880000" cy="1756800"/>
                  <wp:effectExtent l="0" t="0" r="0" b="0"/>
                  <wp:docPr id="24" name="Graf 2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14:paraId="418E0C1F" w14:textId="7BCCFF5F" w:rsidR="00B322AB" w:rsidRPr="001313AF" w:rsidRDefault="00B322AB" w:rsidP="00B322AB">
      <w:pPr>
        <w:rPr>
          <w:rFonts w:ascii="Segoe UI Semilight" w:hAnsi="Segoe UI Semilight" w:cs="Segoe UI Semilight"/>
          <w:sz w:val="16"/>
        </w:rPr>
      </w:pPr>
      <w:r w:rsidRPr="001313AF">
        <w:rPr>
          <w:rFonts w:ascii="Segoe UI Semilight" w:hAnsi="Segoe UI Semilight" w:cs="Segoe UI Semilight"/>
          <w:sz w:val="16"/>
        </w:rPr>
        <w:t>Pozn.: Kvôli neexistencii dát do roku 2014 sa nepriame dotácie sledujú až od roku 2014.</w:t>
      </w:r>
    </w:p>
    <w:p w14:paraId="0173D82F" w14:textId="201616F1" w:rsidR="00B322AB" w:rsidRDefault="00B322AB" w:rsidP="00116B5C">
      <w:pPr>
        <w:pStyle w:val="Popis"/>
        <w:jc w:val="right"/>
        <w:rPr>
          <w:rFonts w:ascii="Segoe UI Semilight" w:hAnsi="Segoe UI Semilight" w:cs="Segoe UI Semilight"/>
          <w:iCs w:val="0"/>
          <w:color w:val="auto"/>
          <w:sz w:val="22"/>
          <w:szCs w:val="22"/>
        </w:rPr>
      </w:pPr>
      <w:r>
        <w:rPr>
          <w:rFonts w:ascii="Segoe UI Semilight" w:hAnsi="Segoe UI Semilight" w:cs="Segoe UI Semilight"/>
          <w:iCs w:val="0"/>
          <w:color w:val="auto"/>
          <w:sz w:val="22"/>
          <w:szCs w:val="22"/>
        </w:rPr>
        <w:t>Zdroj: Výpočty IHA na základe dát ÚRSO, SEPS,</w:t>
      </w:r>
      <w:r w:rsidR="00582758">
        <w:rPr>
          <w:rFonts w:ascii="Segoe UI Semilight" w:hAnsi="Segoe UI Semilight" w:cs="Segoe UI Semilight"/>
          <w:iCs w:val="0"/>
          <w:color w:val="auto"/>
          <w:sz w:val="22"/>
          <w:szCs w:val="22"/>
        </w:rPr>
        <w:t xml:space="preserve"> </w:t>
      </w:r>
      <w:proofErr w:type="spellStart"/>
      <w:r w:rsidR="00582758">
        <w:rPr>
          <w:rFonts w:ascii="Segoe UI Semilight" w:hAnsi="Segoe UI Semilight" w:cs="Segoe UI Semilight"/>
          <w:iCs w:val="0"/>
          <w:color w:val="auto"/>
          <w:sz w:val="22"/>
          <w:szCs w:val="22"/>
        </w:rPr>
        <w:t>a.s</w:t>
      </w:r>
      <w:proofErr w:type="spellEnd"/>
      <w:r w:rsidR="00582758">
        <w:rPr>
          <w:rFonts w:ascii="Segoe UI Semilight" w:hAnsi="Segoe UI Semilight" w:cs="Segoe UI Semilight"/>
          <w:iCs w:val="0"/>
          <w:color w:val="auto"/>
          <w:sz w:val="22"/>
          <w:szCs w:val="22"/>
        </w:rPr>
        <w:t>.,</w:t>
      </w:r>
      <w:r>
        <w:rPr>
          <w:rFonts w:ascii="Segoe UI Semilight" w:hAnsi="Segoe UI Semilight" w:cs="Segoe UI Semilight"/>
          <w:iCs w:val="0"/>
          <w:color w:val="auto"/>
          <w:sz w:val="22"/>
          <w:szCs w:val="22"/>
        </w:rPr>
        <w:t xml:space="preserve"> MH SR, </w:t>
      </w:r>
      <w:r w:rsidR="00582758">
        <w:rPr>
          <w:rFonts w:ascii="Segoe UI Semilight" w:hAnsi="Segoe UI Semilight" w:cs="Segoe UI Semilight"/>
          <w:iCs w:val="0"/>
          <w:color w:val="auto"/>
          <w:sz w:val="22"/>
          <w:szCs w:val="22"/>
        </w:rPr>
        <w:t xml:space="preserve">Slovenského hydrometeorologického ústavu </w:t>
      </w:r>
      <w:r>
        <w:rPr>
          <w:rFonts w:ascii="Segoe UI Semilight" w:hAnsi="Segoe UI Semilight" w:cs="Segoe UI Semilight"/>
          <w:iCs w:val="0"/>
          <w:color w:val="auto"/>
          <w:sz w:val="22"/>
          <w:szCs w:val="22"/>
        </w:rPr>
        <w:t>a Environmentálneho fondu</w:t>
      </w:r>
    </w:p>
    <w:p w14:paraId="2974DDBA" w14:textId="590BFB79" w:rsidR="00CF247D" w:rsidRDefault="007B3A3F" w:rsidP="00B322AB">
      <w:pPr>
        <w:spacing w:after="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  <w:b/>
        </w:rPr>
        <w:t>Kategória cenovej podpory</w:t>
      </w:r>
      <w:r w:rsidR="00B322AB">
        <w:rPr>
          <w:rFonts w:ascii="Segoe UI Semilight" w:hAnsi="Segoe UI Semilight" w:cs="Segoe UI Semilight"/>
          <w:b/>
        </w:rPr>
        <w:t xml:space="preserve"> </w:t>
      </w:r>
      <w:r>
        <w:rPr>
          <w:rFonts w:ascii="Segoe UI Semilight" w:hAnsi="Segoe UI Semilight" w:cs="Segoe UI Semilight"/>
          <w:b/>
        </w:rPr>
        <w:t>sa na Slovensku vzťahuje na</w:t>
      </w:r>
      <w:r w:rsidR="00B322AB">
        <w:rPr>
          <w:rFonts w:ascii="Segoe UI Semilight" w:hAnsi="Segoe UI Semilight" w:cs="Segoe UI Semilight"/>
          <w:b/>
        </w:rPr>
        <w:t xml:space="preserve"> priame zníženie odvodu do Národného jadrového fondu (ďalej len „NJF“)</w:t>
      </w:r>
      <w:r w:rsidR="00B322AB">
        <w:rPr>
          <w:rFonts w:ascii="Segoe UI Semilight" w:hAnsi="Segoe UI Semilight" w:cs="Segoe UI Semilight"/>
        </w:rPr>
        <w:t>. Odvod slúži na pokrytie nákladov súvisiacich s vyraďovaním jadrových elektrárni a ukladaním paliva. Platia ho koncoví odberatelia elektriny a je zahrnutý v konečnej cene elektriny.</w:t>
      </w:r>
      <w:r w:rsidR="00D057A5">
        <w:rPr>
          <w:rFonts w:ascii="Segoe UI Semilight" w:hAnsi="Segoe UI Semilight" w:cs="Segoe UI Semilight"/>
        </w:rPr>
        <w:t xml:space="preserve"> </w:t>
      </w:r>
      <w:r w:rsidR="00237673">
        <w:rPr>
          <w:rFonts w:ascii="Segoe UI Semilight" w:hAnsi="Segoe UI Semilight" w:cs="Segoe UI Semilight"/>
        </w:rPr>
        <w:t xml:space="preserve">Podpora sa pohybovala vo výške od 6 mil. eur po takmer 8 mil. eur </w:t>
      </w:r>
      <w:r w:rsidR="00E764B1">
        <w:rPr>
          <w:rFonts w:ascii="Segoe UI Semilight" w:hAnsi="Segoe UI Semilight" w:cs="Segoe UI Semilight"/>
        </w:rPr>
        <w:t xml:space="preserve"> </w:t>
      </w:r>
      <w:r w:rsidR="00237673">
        <w:rPr>
          <w:rFonts w:ascii="Segoe UI Semilight" w:hAnsi="Segoe UI Semilight" w:cs="Segoe UI Semilight"/>
        </w:rPr>
        <w:t xml:space="preserve">a </w:t>
      </w:r>
      <w:r w:rsidR="00B322AB" w:rsidRPr="00B322AB">
        <w:rPr>
          <w:rFonts w:ascii="Segoe UI Semilight" w:hAnsi="Segoe UI Semilight" w:cs="Segoe UI Semilight"/>
        </w:rPr>
        <w:t>mala pozvoľne rastúci trend na priemernej úrovni 5 %</w:t>
      </w:r>
      <w:r w:rsidR="00E764B1">
        <w:rPr>
          <w:rFonts w:ascii="Segoe UI Semilight" w:hAnsi="Segoe UI Semilight" w:cs="Segoe UI Semilight"/>
        </w:rPr>
        <w:t>,</w:t>
      </w:r>
      <w:r w:rsidR="00B322AB" w:rsidRPr="00B322AB">
        <w:rPr>
          <w:rFonts w:ascii="Segoe UI Semilight" w:hAnsi="Segoe UI Semilight" w:cs="Segoe UI Semilight"/>
        </w:rPr>
        <w:t xml:space="preserve"> medziročne (celkovo za obdobie 2014 – 2021</w:t>
      </w:r>
      <w:r w:rsidR="00E764B1">
        <w:rPr>
          <w:rFonts w:ascii="Segoe UI Semilight" w:hAnsi="Segoe UI Semilight" w:cs="Segoe UI Semilight"/>
        </w:rPr>
        <w:t>)</w:t>
      </w:r>
      <w:r w:rsidR="00B322AB" w:rsidRPr="00B322AB">
        <w:rPr>
          <w:rFonts w:ascii="Segoe UI Semilight" w:hAnsi="Segoe UI Semilight" w:cs="Segoe UI Semilight"/>
        </w:rPr>
        <w:t xml:space="preserve"> o necelých 45 %.</w:t>
      </w:r>
      <w:r w:rsidR="00533BAC">
        <w:rPr>
          <w:rFonts w:ascii="Segoe UI Semilight" w:hAnsi="Segoe UI Semilight" w:cs="Segoe UI Semilight"/>
        </w:rPr>
        <w:t xml:space="preserve"> Z hľadiska metodológie </w:t>
      </w:r>
      <w:r w:rsidR="00EF2D10">
        <w:rPr>
          <w:rFonts w:ascii="Segoe UI Semilight" w:hAnsi="Segoe UI Semilight" w:cs="Segoe UI Semilight"/>
        </w:rPr>
        <w:t xml:space="preserve">sa považujú </w:t>
      </w:r>
      <w:r w:rsidR="00533BAC">
        <w:rPr>
          <w:rFonts w:ascii="Segoe UI Semilight" w:hAnsi="Segoe UI Semilight" w:cs="Segoe UI Semilight"/>
        </w:rPr>
        <w:t>odvody do NJF zároveň za krížovú dotáciu.</w:t>
      </w:r>
      <w:r w:rsidR="00533BAC">
        <w:rPr>
          <w:rStyle w:val="Odkaznapoznmkupodiarou"/>
          <w:rFonts w:ascii="Segoe UI Semilight" w:hAnsi="Segoe UI Semilight" w:cs="Segoe UI Semilight"/>
        </w:rPr>
        <w:footnoteReference w:id="15"/>
      </w:r>
    </w:p>
    <w:p w14:paraId="02230317" w14:textId="1B05DB0B" w:rsidR="00B127AD" w:rsidRPr="00B127AD" w:rsidRDefault="00C239BE" w:rsidP="001313AF">
      <w:pPr>
        <w:spacing w:before="0" w:after="0"/>
        <w:rPr>
          <w:rFonts w:ascii="Segoe UI Semilight" w:hAnsi="Segoe UI Semilight" w:cs="Segoe UI Semilight"/>
        </w:rPr>
      </w:pP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6ADCAB7" wp14:editId="579AA0C5">
                <wp:simplePos x="0" y="0"/>
                <wp:positionH relativeFrom="margin">
                  <wp:posOffset>68580</wp:posOffset>
                </wp:positionH>
                <wp:positionV relativeFrom="paragraph">
                  <wp:posOffset>92075</wp:posOffset>
                </wp:positionV>
                <wp:extent cx="5271770" cy="3300095"/>
                <wp:effectExtent l="0" t="0" r="24130" b="14605"/>
                <wp:wrapSquare wrapText="bothSides"/>
                <wp:docPr id="50" name="Textové po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1770" cy="33000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6B087" w14:textId="5DBE2DEF" w:rsidR="00270E7B" w:rsidRDefault="00270E7B" w:rsidP="001313AF">
                            <w:pPr>
                              <w:pStyle w:val="Popis"/>
                              <w:spacing w:after="0"/>
                              <w:jc w:val="left"/>
                              <w:rPr>
                                <w:rFonts w:ascii="Segoe UI Semilight" w:hAnsi="Segoe UI Semilight" w:cs="Segoe UI Semilight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b/>
                                <w:color w:val="auto"/>
                                <w:sz w:val="22"/>
                                <w:szCs w:val="22"/>
                              </w:rPr>
                              <w:t>Box 3 - Odvody do NJF</w:t>
                            </w:r>
                          </w:p>
                          <w:p w14:paraId="6268D2DC" w14:textId="5D1343B1" w:rsidR="00270E7B" w:rsidRDefault="00270E7B" w:rsidP="001313AF">
                            <w:pPr>
                              <w:pStyle w:val="Textpoznmkypodiarou"/>
                              <w:spacing w:before="120"/>
                              <w:rPr>
                                <w:rFonts w:ascii="Segoe UI Semilight" w:hAnsi="Segoe UI Semilight" w:cs="Segoe UI Semilight"/>
                                <w:sz w:val="22"/>
                                <w:szCs w:val="22"/>
                              </w:rPr>
                            </w:pPr>
                            <w:r w:rsidRPr="00B127AD">
                              <w:rPr>
                                <w:rFonts w:ascii="Segoe UI Semilight" w:hAnsi="Segoe UI Semilight" w:cs="Segoe UI Semilight"/>
                                <w:sz w:val="22"/>
                                <w:szCs w:val="22"/>
                              </w:rPr>
                              <w:t xml:space="preserve">V rokoch 2014 až 2018 išlo o </w:t>
                            </w:r>
                            <w:proofErr w:type="spellStart"/>
                            <w:r w:rsidRPr="00B127AD">
                              <w:rPr>
                                <w:rFonts w:ascii="Segoe UI Semilight" w:hAnsi="Segoe UI Semilight" w:cs="Segoe UI Semilight"/>
                                <w:b/>
                                <w:sz w:val="22"/>
                                <w:szCs w:val="22"/>
                              </w:rPr>
                              <w:t>zastropenie</w:t>
                            </w:r>
                            <w:proofErr w:type="spellEnd"/>
                            <w:r w:rsidRPr="00B127AD">
                              <w:rPr>
                                <w:rFonts w:ascii="Segoe UI Semilight" w:hAnsi="Segoe UI Semilight" w:cs="Segoe UI Semilight"/>
                                <w:b/>
                                <w:sz w:val="22"/>
                                <w:szCs w:val="22"/>
                              </w:rPr>
                              <w:t xml:space="preserve"> efektívneho odvodu</w:t>
                            </w:r>
                            <w:r w:rsidRPr="00B127AD">
                              <w:rPr>
                                <w:rFonts w:ascii="Segoe UI Semilight" w:hAnsi="Segoe UI Semilight" w:cs="Segoe UI Semilight"/>
                                <w:sz w:val="22"/>
                                <w:szCs w:val="22"/>
                              </w:rPr>
                              <w:t xml:space="preserve"> do NJF pre energeticky náročné podniky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22"/>
                                <w:szCs w:val="22"/>
                              </w:rPr>
                              <w:t>,</w:t>
                            </w:r>
                            <w:r w:rsidRPr="00B127AD">
                              <w:rPr>
                                <w:rFonts w:ascii="Segoe UI Semilight" w:hAnsi="Segoe UI Semilight" w:cs="Segoe UI Semi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22"/>
                                <w:szCs w:val="22"/>
                              </w:rPr>
                              <w:t>pri</w:t>
                            </w:r>
                            <w:r w:rsidRPr="00B127AD">
                              <w:rPr>
                                <w:rFonts w:ascii="Segoe UI Semilight" w:hAnsi="Segoe UI Semilight" w:cs="Segoe UI Semilight"/>
                                <w:sz w:val="22"/>
                                <w:szCs w:val="22"/>
                              </w:rPr>
                              <w:t xml:space="preserve"> ktorých 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22"/>
                                <w:szCs w:val="22"/>
                              </w:rPr>
                              <w:t xml:space="preserve">by </w:t>
                            </w:r>
                            <w:r w:rsidRPr="00B127AD">
                              <w:rPr>
                                <w:rFonts w:ascii="Segoe UI Semilight" w:hAnsi="Segoe UI Semilight" w:cs="Segoe UI Semilight"/>
                                <w:sz w:val="22"/>
                                <w:szCs w:val="22"/>
                              </w:rPr>
                              <w:t>koncová spotreba elektriny prevýšila objem zaťažený odvodom v s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22"/>
                                <w:szCs w:val="22"/>
                              </w:rPr>
                              <w:t>úhrnnej výške 2 mil. eur ročne.</w:t>
                            </w:r>
                          </w:p>
                          <w:p w14:paraId="7E06FC2E" w14:textId="6D613CC4" w:rsidR="00270E7B" w:rsidRDefault="00270E7B" w:rsidP="001313AF">
                            <w:pPr>
                              <w:pStyle w:val="Textpoznmkypodiarou"/>
                              <w:spacing w:before="120"/>
                              <w:rPr>
                                <w:rFonts w:ascii="Segoe UI Semilight" w:hAnsi="Segoe UI Semilight" w:cs="Segoe UI Semilight"/>
                                <w:sz w:val="22"/>
                                <w:szCs w:val="22"/>
                              </w:rPr>
                            </w:pPr>
                            <w:r w:rsidRPr="00B127AD">
                              <w:rPr>
                                <w:rFonts w:ascii="Segoe UI Semilight" w:hAnsi="Segoe UI Semilight" w:cs="Segoe UI Semilight"/>
                                <w:sz w:val="22"/>
                                <w:szCs w:val="22"/>
                              </w:rPr>
                              <w:t xml:space="preserve">Od roku 2019 je ustanovená </w:t>
                            </w:r>
                            <w:r w:rsidRPr="00B127AD">
                              <w:rPr>
                                <w:rFonts w:ascii="Segoe UI Semilight" w:hAnsi="Segoe UI Semilight" w:cs="Segoe UI Semilight"/>
                                <w:b/>
                                <w:sz w:val="22"/>
                                <w:szCs w:val="22"/>
                              </w:rPr>
                              <w:t>znížená efektívna sadzba</w:t>
                            </w:r>
                            <w:r w:rsidRPr="00B127AD">
                              <w:rPr>
                                <w:rFonts w:ascii="Segoe UI Semilight" w:hAnsi="Segoe UI Semilight" w:cs="Segoe UI Semilight"/>
                                <w:sz w:val="22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22"/>
                                <w:szCs w:val="22"/>
                              </w:rPr>
                              <w:t xml:space="preserve">v zmysle </w:t>
                            </w:r>
                            <w:r w:rsidRPr="00B127AD">
                              <w:rPr>
                                <w:rFonts w:ascii="Segoe UI Semilight" w:hAnsi="Segoe UI Semilight" w:cs="Segoe UI Semilight"/>
                                <w:sz w:val="22"/>
                                <w:szCs w:val="22"/>
                              </w:rPr>
                              <w:t>nariaden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22"/>
                                <w:szCs w:val="22"/>
                              </w:rPr>
                              <w:t>ia</w:t>
                            </w:r>
                            <w:r w:rsidRPr="00B127AD">
                              <w:rPr>
                                <w:rFonts w:ascii="Segoe UI Semilight" w:hAnsi="Segoe UI Semilight" w:cs="Segoe UI Semilight"/>
                                <w:sz w:val="22"/>
                                <w:szCs w:val="22"/>
                              </w:rPr>
                              <w:t xml:space="preserve"> vlády č.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22"/>
                                <w:szCs w:val="22"/>
                              </w:rPr>
                              <w:t> </w:t>
                            </w:r>
                            <w:r w:rsidRPr="00B127AD">
                              <w:rPr>
                                <w:rFonts w:ascii="Segoe UI Semilight" w:hAnsi="Segoe UI Semilight" w:cs="Segoe UI Semilight"/>
                                <w:sz w:val="22"/>
                                <w:szCs w:val="22"/>
                              </w:rPr>
                              <w:t>22/2019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22"/>
                                <w:szCs w:val="22"/>
                              </w:rPr>
                              <w:t xml:space="preserve"> Z. z.</w:t>
                            </w:r>
                            <w:r w:rsidRPr="0085498D">
                              <w:rPr>
                                <w:rFonts w:ascii="Segoe UI Semilight" w:hAnsi="Segoe UI Semilight" w:cs="Segoe UI Semilight"/>
                                <w:sz w:val="22"/>
                                <w:szCs w:val="22"/>
                              </w:rPr>
                              <w:t>, ktorým sa ustanovuje výška povinného príspevku a povinnej platby a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22"/>
                                <w:szCs w:val="22"/>
                              </w:rPr>
                              <w:t> </w:t>
                            </w:r>
                            <w:r w:rsidRPr="0085498D">
                              <w:rPr>
                                <w:rFonts w:ascii="Segoe UI Semilight" w:hAnsi="Segoe UI Semilight" w:cs="Segoe UI Semilight"/>
                                <w:sz w:val="22"/>
                                <w:szCs w:val="22"/>
                              </w:rPr>
                              <w:t>podrobnosti o spôsobe výberu a platenia povinného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22"/>
                                <w:szCs w:val="22"/>
                              </w:rPr>
                              <w:t xml:space="preserve"> príspevku a povinnej platby na </w:t>
                            </w:r>
                            <w:r w:rsidRPr="0085498D">
                              <w:rPr>
                                <w:rFonts w:ascii="Segoe UI Semilight" w:hAnsi="Segoe UI Semilight" w:cs="Segoe UI Semilight"/>
                                <w:sz w:val="22"/>
                                <w:szCs w:val="22"/>
                              </w:rPr>
                              <w:t>účet Národného jadrového fondu</w:t>
                            </w:r>
                            <w:r w:rsidRPr="00B127AD">
                              <w:rPr>
                                <w:rFonts w:ascii="Segoe UI Semilight" w:hAnsi="Segoe UI Semilight" w:cs="Segoe UI Semilight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22"/>
                                <w:szCs w:val="22"/>
                              </w:rPr>
                              <w:t xml:space="preserve"> pre tieto podniky:</w:t>
                            </w:r>
                          </w:p>
                          <w:p w14:paraId="50DA14D1" w14:textId="3E58D1AD" w:rsidR="00270E7B" w:rsidRPr="00B127AD" w:rsidRDefault="00270E7B" w:rsidP="001313AF">
                            <w:pPr>
                              <w:pStyle w:val="Textpoznmkypodiarou"/>
                              <w:numPr>
                                <w:ilvl w:val="0"/>
                                <w:numId w:val="34"/>
                              </w:numPr>
                              <w:spacing w:before="120"/>
                              <w:ind w:left="714" w:hanging="357"/>
                            </w:pPr>
                            <w:r>
                              <w:rPr>
                                <w:rFonts w:ascii="Segoe UI Semilight" w:hAnsi="Segoe UI Semilight" w:cs="Segoe UI Semilight"/>
                                <w:sz w:val="22"/>
                                <w:szCs w:val="22"/>
                              </w:rPr>
                              <w:t xml:space="preserve">vo výške 30 % </w:t>
                            </w:r>
                            <w:r w:rsidRPr="00B127AD">
                              <w:rPr>
                                <w:rFonts w:ascii="Segoe UI Semilight" w:hAnsi="Segoe UI Semilight" w:cs="Segoe UI Semilight"/>
                                <w:sz w:val="22"/>
                                <w:szCs w:val="22"/>
                              </w:rPr>
                              <w:t xml:space="preserve">pre všetky podniky spadajúce do vymedzených odvetví výroby rafinovaných ropných produktov, výroby surového železa a ocele a 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22"/>
                                <w:szCs w:val="22"/>
                              </w:rPr>
                              <w:t>ferozliatin a výroby hliníka;</w:t>
                            </w:r>
                          </w:p>
                          <w:p w14:paraId="62D589F3" w14:textId="03F69051" w:rsidR="00270E7B" w:rsidRPr="001313AF" w:rsidRDefault="00270E7B" w:rsidP="00B127AD">
                            <w:pPr>
                              <w:pStyle w:val="Textpoznmkypodiarou"/>
                              <w:numPr>
                                <w:ilvl w:val="0"/>
                                <w:numId w:val="34"/>
                              </w:numPr>
                              <w:spacing w:before="120"/>
                              <w:ind w:left="714" w:hanging="357"/>
                            </w:pPr>
                            <w:r>
                              <w:rPr>
                                <w:rFonts w:ascii="Segoe UI Semilight" w:hAnsi="Segoe UI Semilight" w:cs="Segoe UI Semilight"/>
                                <w:sz w:val="22"/>
                                <w:szCs w:val="22"/>
                              </w:rPr>
                              <w:t xml:space="preserve">vo výške 75 % </w:t>
                            </w:r>
                            <w:r w:rsidRPr="00B127AD">
                              <w:rPr>
                                <w:rFonts w:ascii="Segoe UI Semilight" w:hAnsi="Segoe UI Semilight" w:cs="Segoe UI Semilight"/>
                                <w:sz w:val="22"/>
                                <w:szCs w:val="22"/>
                              </w:rPr>
                              <w:t>pre podniky, ktoré spadajú do vymedzených odvetví a zároveň ich elektroenergetická n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22"/>
                                <w:szCs w:val="22"/>
                              </w:rPr>
                              <w:t>áročnosť dosahuje najmenej 60 %</w:t>
                            </w:r>
                            <w:r w:rsidRPr="00B127AD">
                              <w:rPr>
                                <w:rFonts w:ascii="Segoe UI Semilight" w:hAnsi="Segoe UI Semilight" w:cs="Segoe UI Semilight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5779A82E" w14:textId="7672C261" w:rsidR="00270E7B" w:rsidRDefault="00270E7B" w:rsidP="001313AF">
                            <w:pPr>
                              <w:pStyle w:val="Textpoznmkypodiarou"/>
                              <w:spacing w:before="120"/>
                            </w:pPr>
                            <w:r w:rsidRPr="00B127AD">
                              <w:rPr>
                                <w:rFonts w:ascii="Segoe UI Semilight" w:hAnsi="Segoe UI Semilight" w:cs="Segoe UI Semilight"/>
                                <w:sz w:val="22"/>
                                <w:szCs w:val="22"/>
                              </w:rPr>
                              <w:t xml:space="preserve">Efektívna sadzba sa každoročne aktualizuje a je dostupná na </w:t>
                            </w:r>
                            <w:r>
                              <w:rPr>
                                <w:rFonts w:ascii="Segoe UI Semilight" w:hAnsi="Segoe UI Semilight" w:cs="Segoe UI Semilight"/>
                                <w:sz w:val="22"/>
                                <w:szCs w:val="22"/>
                              </w:rPr>
                              <w:t>webovom sídle MH SR</w:t>
                            </w:r>
                            <w:r w:rsidRPr="00B127AD">
                              <w:rPr>
                                <w:rFonts w:ascii="Segoe UI Semilight" w:hAnsi="Segoe UI Semilight" w:cs="Segoe UI Semilight"/>
                                <w:sz w:val="22"/>
                                <w:szCs w:val="22"/>
                              </w:rPr>
                              <w:t xml:space="preserve">: </w:t>
                            </w:r>
                            <w:hyperlink r:id="rId21" w:history="1">
                              <w:r w:rsidR="009E32FF" w:rsidRPr="009E32FF">
                                <w:rPr>
                                  <w:rStyle w:val="Hypertextovprepojenie"/>
                                  <w:rFonts w:ascii="Segoe UI Semilight" w:hAnsi="Segoe UI Semilight" w:cs="Segoe UI Semilight"/>
                                  <w:sz w:val="22"/>
                                </w:rPr>
                                <w:t>Efektívna sadzba odvodu do Národného jadrového fondu | Energetika | MHSR</w:t>
                              </w:r>
                            </w:hyperlink>
                          </w:p>
                          <w:p w14:paraId="08E291F5" w14:textId="77777777" w:rsidR="00270E7B" w:rsidRDefault="00270E7B" w:rsidP="00B127AD">
                            <w:pPr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  <w:p w14:paraId="77060FC2" w14:textId="77777777" w:rsidR="00270E7B" w:rsidRDefault="00270E7B" w:rsidP="00B127AD"/>
                          <w:p w14:paraId="3E9788AD" w14:textId="77777777" w:rsidR="00270E7B" w:rsidRDefault="00270E7B" w:rsidP="00B127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DCAB7" id="Textové pole 50" o:spid="_x0000_s1030" type="#_x0000_t202" style="position:absolute;left:0;text-align:left;margin-left:5.4pt;margin-top:7.25pt;width:415.1pt;height:259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" fillcolor="#deeaf6 [660]">
                <v:textbox>
                  <w:txbxContent>
                    <w:p w14:paraId="25C6B087" w14:textId="5DBE2DEF" w:rsidR="00270E7B" w:rsidRDefault="00270E7B" w:rsidP="001313AF">
                      <w:pPr>
                        <w:pStyle w:val="Popis"/>
                        <w:spacing w:after="0"/>
                        <w:jc w:val="left"/>
                        <w:rPr>
                          <w:rFonts w:ascii="Segoe UI Semilight" w:hAnsi="Segoe UI Semilight" w:cs="Segoe UI Semilight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Segoe UI Semilight" w:hAnsi="Segoe UI Semilight" w:cs="Segoe UI Semilight"/>
                          <w:b/>
                          <w:color w:val="auto"/>
                          <w:sz w:val="22"/>
                          <w:szCs w:val="22"/>
                        </w:rPr>
                        <w:t>Box 3 - Odvody do NJF</w:t>
                      </w:r>
                    </w:p>
                    <w:p w14:paraId="6268D2DC" w14:textId="5D1343B1" w:rsidR="00270E7B" w:rsidRDefault="00270E7B" w:rsidP="001313AF">
                      <w:pPr>
                        <w:pStyle w:val="Textpoznmkypodiarou"/>
                        <w:spacing w:before="120"/>
                        <w:rPr>
                          <w:rFonts w:ascii="Segoe UI Semilight" w:hAnsi="Segoe UI Semilight" w:cs="Segoe UI Semilight"/>
                          <w:sz w:val="22"/>
                          <w:szCs w:val="22"/>
                        </w:rPr>
                      </w:pPr>
                      <w:r w:rsidRPr="00B127AD">
                        <w:rPr>
                          <w:rFonts w:ascii="Segoe UI Semilight" w:hAnsi="Segoe UI Semilight" w:cs="Segoe UI Semilight"/>
                          <w:sz w:val="22"/>
                          <w:szCs w:val="22"/>
                        </w:rPr>
                        <w:t xml:space="preserve">V rokoch 2014 až 2018 išlo o </w:t>
                      </w:r>
                      <w:r w:rsidRPr="00B127AD">
                        <w:rPr>
                          <w:rFonts w:ascii="Segoe UI Semilight" w:hAnsi="Segoe UI Semilight" w:cs="Segoe UI Semilight"/>
                          <w:b/>
                          <w:sz w:val="22"/>
                          <w:szCs w:val="22"/>
                        </w:rPr>
                        <w:t>zastropenie efektívneho odvodu</w:t>
                      </w:r>
                      <w:r w:rsidRPr="00B127AD">
                        <w:rPr>
                          <w:rFonts w:ascii="Segoe UI Semilight" w:hAnsi="Segoe UI Semilight" w:cs="Segoe UI Semilight"/>
                          <w:sz w:val="22"/>
                          <w:szCs w:val="22"/>
                        </w:rPr>
                        <w:t xml:space="preserve"> do NJF pre energeticky náročné podniky</w:t>
                      </w:r>
                      <w:r>
                        <w:rPr>
                          <w:rFonts w:ascii="Segoe UI Semilight" w:hAnsi="Segoe UI Semilight" w:cs="Segoe UI Semilight"/>
                          <w:sz w:val="22"/>
                          <w:szCs w:val="22"/>
                        </w:rPr>
                        <w:t>,</w:t>
                      </w:r>
                      <w:r w:rsidRPr="00B127AD">
                        <w:rPr>
                          <w:rFonts w:ascii="Segoe UI Semilight" w:hAnsi="Segoe UI Semilight" w:cs="Segoe UI Semilight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Segoe UI Semilight" w:hAnsi="Segoe UI Semilight" w:cs="Segoe UI Semilight"/>
                          <w:sz w:val="22"/>
                          <w:szCs w:val="22"/>
                        </w:rPr>
                        <w:t>pri</w:t>
                      </w:r>
                      <w:r w:rsidRPr="00B127AD">
                        <w:rPr>
                          <w:rFonts w:ascii="Segoe UI Semilight" w:hAnsi="Segoe UI Semilight" w:cs="Segoe UI Semilight"/>
                          <w:sz w:val="22"/>
                          <w:szCs w:val="22"/>
                        </w:rPr>
                        <w:t xml:space="preserve"> ktorých </w:t>
                      </w:r>
                      <w:r>
                        <w:rPr>
                          <w:rFonts w:ascii="Segoe UI Semilight" w:hAnsi="Segoe UI Semilight" w:cs="Segoe UI Semilight"/>
                          <w:sz w:val="22"/>
                          <w:szCs w:val="22"/>
                        </w:rPr>
                        <w:t xml:space="preserve">by </w:t>
                      </w:r>
                      <w:r w:rsidRPr="00B127AD">
                        <w:rPr>
                          <w:rFonts w:ascii="Segoe UI Semilight" w:hAnsi="Segoe UI Semilight" w:cs="Segoe UI Semilight"/>
                          <w:sz w:val="22"/>
                          <w:szCs w:val="22"/>
                        </w:rPr>
                        <w:t>koncová spotreba elektriny prevýšila objem zaťažený odvodom v s</w:t>
                      </w:r>
                      <w:r>
                        <w:rPr>
                          <w:rFonts w:ascii="Segoe UI Semilight" w:hAnsi="Segoe UI Semilight" w:cs="Segoe UI Semilight"/>
                          <w:sz w:val="22"/>
                          <w:szCs w:val="22"/>
                        </w:rPr>
                        <w:t>úhrnnej výške 2 mil. eur ročne.</w:t>
                      </w:r>
                    </w:p>
                    <w:p w14:paraId="7E06FC2E" w14:textId="6D613CC4" w:rsidR="00270E7B" w:rsidRDefault="00270E7B" w:rsidP="001313AF">
                      <w:pPr>
                        <w:pStyle w:val="Textpoznmkypodiarou"/>
                        <w:spacing w:before="120"/>
                        <w:rPr>
                          <w:rFonts w:ascii="Segoe UI Semilight" w:hAnsi="Segoe UI Semilight" w:cs="Segoe UI Semilight"/>
                          <w:sz w:val="22"/>
                          <w:szCs w:val="22"/>
                        </w:rPr>
                      </w:pPr>
                      <w:r w:rsidRPr="00B127AD">
                        <w:rPr>
                          <w:rFonts w:ascii="Segoe UI Semilight" w:hAnsi="Segoe UI Semilight" w:cs="Segoe UI Semilight"/>
                          <w:sz w:val="22"/>
                          <w:szCs w:val="22"/>
                        </w:rPr>
                        <w:t xml:space="preserve">Od roku 2019 je ustanovená </w:t>
                      </w:r>
                      <w:r w:rsidRPr="00B127AD">
                        <w:rPr>
                          <w:rFonts w:ascii="Segoe UI Semilight" w:hAnsi="Segoe UI Semilight" w:cs="Segoe UI Semilight"/>
                          <w:b/>
                          <w:sz w:val="22"/>
                          <w:szCs w:val="22"/>
                        </w:rPr>
                        <w:t>znížená efektívna sadzba</w:t>
                      </w:r>
                      <w:r w:rsidRPr="00B127AD">
                        <w:rPr>
                          <w:rFonts w:ascii="Segoe UI Semilight" w:hAnsi="Segoe UI Semilight" w:cs="Segoe UI Semilight"/>
                          <w:sz w:val="22"/>
                          <w:szCs w:val="22"/>
                        </w:rPr>
                        <w:t xml:space="preserve"> (</w:t>
                      </w:r>
                      <w:r>
                        <w:rPr>
                          <w:rFonts w:ascii="Segoe UI Semilight" w:hAnsi="Segoe UI Semilight" w:cs="Segoe UI Semilight"/>
                          <w:sz w:val="22"/>
                          <w:szCs w:val="22"/>
                        </w:rPr>
                        <w:t xml:space="preserve">v zmysle </w:t>
                      </w:r>
                      <w:r w:rsidRPr="00B127AD">
                        <w:rPr>
                          <w:rFonts w:ascii="Segoe UI Semilight" w:hAnsi="Segoe UI Semilight" w:cs="Segoe UI Semilight"/>
                          <w:sz w:val="22"/>
                          <w:szCs w:val="22"/>
                        </w:rPr>
                        <w:t>nariaden</w:t>
                      </w:r>
                      <w:r>
                        <w:rPr>
                          <w:rFonts w:ascii="Segoe UI Semilight" w:hAnsi="Segoe UI Semilight" w:cs="Segoe UI Semilight"/>
                          <w:sz w:val="22"/>
                          <w:szCs w:val="22"/>
                        </w:rPr>
                        <w:t>ia</w:t>
                      </w:r>
                      <w:r w:rsidRPr="00B127AD">
                        <w:rPr>
                          <w:rFonts w:ascii="Segoe UI Semilight" w:hAnsi="Segoe UI Semilight" w:cs="Segoe UI Semilight"/>
                          <w:sz w:val="22"/>
                          <w:szCs w:val="22"/>
                        </w:rPr>
                        <w:t xml:space="preserve"> vlády č.</w:t>
                      </w:r>
                      <w:r>
                        <w:rPr>
                          <w:rFonts w:ascii="Segoe UI Semilight" w:hAnsi="Segoe UI Semilight" w:cs="Segoe UI Semilight"/>
                          <w:sz w:val="22"/>
                          <w:szCs w:val="22"/>
                        </w:rPr>
                        <w:t> </w:t>
                      </w:r>
                      <w:r w:rsidRPr="00B127AD">
                        <w:rPr>
                          <w:rFonts w:ascii="Segoe UI Semilight" w:hAnsi="Segoe UI Semilight" w:cs="Segoe UI Semilight"/>
                          <w:sz w:val="22"/>
                          <w:szCs w:val="22"/>
                        </w:rPr>
                        <w:t>22/2019</w:t>
                      </w:r>
                      <w:r>
                        <w:rPr>
                          <w:rFonts w:ascii="Segoe UI Semilight" w:hAnsi="Segoe UI Semilight" w:cs="Segoe UI Semilight"/>
                          <w:sz w:val="22"/>
                          <w:szCs w:val="22"/>
                        </w:rPr>
                        <w:t xml:space="preserve"> Z. z.</w:t>
                      </w:r>
                      <w:r w:rsidRPr="0085498D">
                        <w:rPr>
                          <w:rFonts w:ascii="Segoe UI Semilight" w:hAnsi="Segoe UI Semilight" w:cs="Segoe UI Semilight"/>
                          <w:sz w:val="22"/>
                          <w:szCs w:val="22"/>
                        </w:rPr>
                        <w:t>, ktorým sa ustanovuje výška povinného príspevku a povinnej platby a</w:t>
                      </w:r>
                      <w:r>
                        <w:rPr>
                          <w:rFonts w:ascii="Segoe UI Semilight" w:hAnsi="Segoe UI Semilight" w:cs="Segoe UI Semilight"/>
                          <w:sz w:val="22"/>
                          <w:szCs w:val="22"/>
                        </w:rPr>
                        <w:t> </w:t>
                      </w:r>
                      <w:r w:rsidRPr="0085498D">
                        <w:rPr>
                          <w:rFonts w:ascii="Segoe UI Semilight" w:hAnsi="Segoe UI Semilight" w:cs="Segoe UI Semilight"/>
                          <w:sz w:val="22"/>
                          <w:szCs w:val="22"/>
                        </w:rPr>
                        <w:t>podrobnosti o spôsobe výberu a platenia povinného</w:t>
                      </w:r>
                      <w:r>
                        <w:rPr>
                          <w:rFonts w:ascii="Segoe UI Semilight" w:hAnsi="Segoe UI Semilight" w:cs="Segoe UI Semilight"/>
                          <w:sz w:val="22"/>
                          <w:szCs w:val="22"/>
                        </w:rPr>
                        <w:t xml:space="preserve"> príspevku a povinnej platby na </w:t>
                      </w:r>
                      <w:r w:rsidRPr="0085498D">
                        <w:rPr>
                          <w:rFonts w:ascii="Segoe UI Semilight" w:hAnsi="Segoe UI Semilight" w:cs="Segoe UI Semilight"/>
                          <w:sz w:val="22"/>
                          <w:szCs w:val="22"/>
                        </w:rPr>
                        <w:t>účet Národného jadrového fondu</w:t>
                      </w:r>
                      <w:r w:rsidRPr="00B127AD">
                        <w:rPr>
                          <w:rFonts w:ascii="Segoe UI Semilight" w:hAnsi="Segoe UI Semilight" w:cs="Segoe UI Semilight"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Segoe UI Semilight" w:hAnsi="Segoe UI Semilight" w:cs="Segoe UI Semilight"/>
                          <w:sz w:val="22"/>
                          <w:szCs w:val="22"/>
                        </w:rPr>
                        <w:t xml:space="preserve"> pre tieto podniky:</w:t>
                      </w:r>
                    </w:p>
                    <w:p w14:paraId="50DA14D1" w14:textId="3E58D1AD" w:rsidR="00270E7B" w:rsidRPr="00B127AD" w:rsidRDefault="00270E7B" w:rsidP="001313AF">
                      <w:pPr>
                        <w:pStyle w:val="Textpoznmkypodiarou"/>
                        <w:numPr>
                          <w:ilvl w:val="0"/>
                          <w:numId w:val="34"/>
                        </w:numPr>
                        <w:spacing w:before="120"/>
                        <w:ind w:left="714" w:hanging="357"/>
                      </w:pPr>
                      <w:r>
                        <w:rPr>
                          <w:rFonts w:ascii="Segoe UI Semilight" w:hAnsi="Segoe UI Semilight" w:cs="Segoe UI Semilight"/>
                          <w:sz w:val="22"/>
                          <w:szCs w:val="22"/>
                        </w:rPr>
                        <w:t xml:space="preserve">vo výške 30 % </w:t>
                      </w:r>
                      <w:r w:rsidRPr="00B127AD">
                        <w:rPr>
                          <w:rFonts w:ascii="Segoe UI Semilight" w:hAnsi="Segoe UI Semilight" w:cs="Segoe UI Semilight"/>
                          <w:sz w:val="22"/>
                          <w:szCs w:val="22"/>
                        </w:rPr>
                        <w:t xml:space="preserve">pre všetky podniky spadajúce do vymedzených odvetví výroby rafinovaných ropných produktov, výroby surového železa a ocele a </w:t>
                      </w:r>
                      <w:r>
                        <w:rPr>
                          <w:rFonts w:ascii="Segoe UI Semilight" w:hAnsi="Segoe UI Semilight" w:cs="Segoe UI Semilight"/>
                          <w:sz w:val="22"/>
                          <w:szCs w:val="22"/>
                        </w:rPr>
                        <w:t>ferozliatin a výroby hliníka;</w:t>
                      </w:r>
                    </w:p>
                    <w:p w14:paraId="62D589F3" w14:textId="03F69051" w:rsidR="00270E7B" w:rsidRPr="001313AF" w:rsidRDefault="00270E7B" w:rsidP="00B127AD">
                      <w:pPr>
                        <w:pStyle w:val="Textpoznmkypodiarou"/>
                        <w:numPr>
                          <w:ilvl w:val="0"/>
                          <w:numId w:val="34"/>
                        </w:numPr>
                        <w:spacing w:before="120"/>
                        <w:ind w:left="714" w:hanging="357"/>
                      </w:pPr>
                      <w:r>
                        <w:rPr>
                          <w:rFonts w:ascii="Segoe UI Semilight" w:hAnsi="Segoe UI Semilight" w:cs="Segoe UI Semilight"/>
                          <w:sz w:val="22"/>
                          <w:szCs w:val="22"/>
                        </w:rPr>
                        <w:t xml:space="preserve">vo výške 75 % </w:t>
                      </w:r>
                      <w:r w:rsidRPr="00B127AD">
                        <w:rPr>
                          <w:rFonts w:ascii="Segoe UI Semilight" w:hAnsi="Segoe UI Semilight" w:cs="Segoe UI Semilight"/>
                          <w:sz w:val="22"/>
                          <w:szCs w:val="22"/>
                        </w:rPr>
                        <w:t>pre podniky, ktoré spadajú do vymedzených odvetví a zároveň ich elektroenergetická n</w:t>
                      </w:r>
                      <w:r>
                        <w:rPr>
                          <w:rFonts w:ascii="Segoe UI Semilight" w:hAnsi="Segoe UI Semilight" w:cs="Segoe UI Semilight"/>
                          <w:sz w:val="22"/>
                          <w:szCs w:val="22"/>
                        </w:rPr>
                        <w:t>áročnosť dosahuje najmenej 60 %</w:t>
                      </w:r>
                      <w:r w:rsidRPr="00B127AD">
                        <w:rPr>
                          <w:rFonts w:ascii="Segoe UI Semilight" w:hAnsi="Segoe UI Semilight" w:cs="Segoe UI Semilight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5779A82E" w14:textId="7672C261" w:rsidR="00270E7B" w:rsidRDefault="00270E7B" w:rsidP="001313AF">
                      <w:pPr>
                        <w:pStyle w:val="Textpoznmkypodiarou"/>
                        <w:spacing w:before="120"/>
                      </w:pPr>
                      <w:r w:rsidRPr="00B127AD">
                        <w:rPr>
                          <w:rFonts w:ascii="Segoe UI Semilight" w:hAnsi="Segoe UI Semilight" w:cs="Segoe UI Semilight"/>
                          <w:sz w:val="22"/>
                          <w:szCs w:val="22"/>
                        </w:rPr>
                        <w:t xml:space="preserve">Efektívna sadzba sa každoročne aktualizuje a je dostupná na </w:t>
                      </w:r>
                      <w:r>
                        <w:rPr>
                          <w:rFonts w:ascii="Segoe UI Semilight" w:hAnsi="Segoe UI Semilight" w:cs="Segoe UI Semilight"/>
                          <w:sz w:val="22"/>
                          <w:szCs w:val="22"/>
                        </w:rPr>
                        <w:t>webovom sídle MH SR</w:t>
                      </w:r>
                      <w:r w:rsidRPr="00B127AD">
                        <w:rPr>
                          <w:rFonts w:ascii="Segoe UI Semilight" w:hAnsi="Segoe UI Semilight" w:cs="Segoe UI Semilight"/>
                          <w:sz w:val="22"/>
                          <w:szCs w:val="22"/>
                        </w:rPr>
                        <w:t xml:space="preserve">: </w:t>
                      </w:r>
                      <w:hyperlink r:id="rId22" w:history="1">
                        <w:r w:rsidR="009E32FF" w:rsidRPr="009E32FF">
                          <w:rPr>
                            <w:rStyle w:val="Hypertextovprepojenie"/>
                            <w:rFonts w:ascii="Segoe UI Semilight" w:hAnsi="Segoe UI Semilight" w:cs="Segoe UI Semilight"/>
                            <w:sz w:val="22"/>
                          </w:rPr>
                          <w:t>Efektívna sadzba odvodu do Národného jadrového fondu | Energetika | MHSR</w:t>
                        </w:r>
                      </w:hyperlink>
                    </w:p>
                    <w:p w14:paraId="08E291F5" w14:textId="77777777" w:rsidR="00270E7B" w:rsidRDefault="00270E7B" w:rsidP="00B127AD">
                      <w:pPr>
                        <w:rPr>
                          <w:rFonts w:ascii="Segoe UI Semilight" w:hAnsi="Segoe UI Semilight" w:cs="Segoe UI Semilight"/>
                        </w:rPr>
                      </w:pPr>
                    </w:p>
                    <w:p w14:paraId="77060FC2" w14:textId="77777777" w:rsidR="00270E7B" w:rsidRDefault="00270E7B" w:rsidP="00B127AD"/>
                    <w:p w14:paraId="3E9788AD" w14:textId="77777777" w:rsidR="00270E7B" w:rsidRDefault="00270E7B" w:rsidP="00B127AD"/>
                  </w:txbxContent>
                </v:textbox>
                <w10:wrap type="square" anchorx="margin"/>
              </v:shape>
            </w:pict>
          </mc:Fallback>
        </mc:AlternateContent>
      </w:r>
    </w:p>
    <w:p w14:paraId="3039A48E" w14:textId="54CDFF77" w:rsidR="00B322AB" w:rsidRDefault="007F68D0" w:rsidP="00B322AB">
      <w:pPr>
        <w:spacing w:after="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  <w:b/>
        </w:rPr>
        <w:lastRenderedPageBreak/>
        <w:t>E</w:t>
      </w:r>
      <w:r w:rsidR="00B322AB">
        <w:rPr>
          <w:rFonts w:ascii="Segoe UI Semilight" w:hAnsi="Segoe UI Semilight" w:cs="Segoe UI Semilight"/>
          <w:b/>
        </w:rPr>
        <w:t>nergeticky najnáročnejšie podniky</w:t>
      </w:r>
      <w:r w:rsidR="005C1B2B">
        <w:rPr>
          <w:rFonts w:ascii="Segoe UI Semilight" w:hAnsi="Segoe UI Semilight" w:cs="Segoe UI Semilight"/>
          <w:b/>
        </w:rPr>
        <w:t xml:space="preserve"> (Slovalco, </w:t>
      </w:r>
      <w:proofErr w:type="spellStart"/>
      <w:r w:rsidR="00152DE2">
        <w:rPr>
          <w:rFonts w:ascii="Segoe UI Semilight" w:hAnsi="Segoe UI Semilight" w:cs="Segoe UI Semilight"/>
          <w:b/>
        </w:rPr>
        <w:t>a.s</w:t>
      </w:r>
      <w:proofErr w:type="spellEnd"/>
      <w:r w:rsidR="00152DE2">
        <w:rPr>
          <w:rFonts w:ascii="Segoe UI Semilight" w:hAnsi="Segoe UI Semilight" w:cs="Segoe UI Semilight"/>
          <w:b/>
        </w:rPr>
        <w:t xml:space="preserve">., </w:t>
      </w:r>
      <w:r w:rsidR="005C1B2B">
        <w:rPr>
          <w:rFonts w:ascii="Segoe UI Semilight" w:hAnsi="Segoe UI Semilight" w:cs="Segoe UI Semilight"/>
          <w:b/>
        </w:rPr>
        <w:t xml:space="preserve">OFZ, </w:t>
      </w:r>
      <w:proofErr w:type="spellStart"/>
      <w:r w:rsidR="00152DE2">
        <w:rPr>
          <w:rFonts w:ascii="Segoe UI Semilight" w:hAnsi="Segoe UI Semilight" w:cs="Segoe UI Semilight"/>
          <w:b/>
        </w:rPr>
        <w:t>a.s</w:t>
      </w:r>
      <w:proofErr w:type="spellEnd"/>
      <w:r w:rsidR="00152DE2">
        <w:rPr>
          <w:rFonts w:ascii="Segoe UI Semilight" w:hAnsi="Segoe UI Semilight" w:cs="Segoe UI Semilight"/>
          <w:b/>
        </w:rPr>
        <w:t xml:space="preserve">., </w:t>
      </w:r>
      <w:proofErr w:type="spellStart"/>
      <w:r w:rsidR="005C1B2B">
        <w:rPr>
          <w:rFonts w:ascii="Segoe UI Semilight" w:hAnsi="Segoe UI Semilight" w:cs="Segoe UI Semilight"/>
          <w:b/>
        </w:rPr>
        <w:t>Fortischem</w:t>
      </w:r>
      <w:proofErr w:type="spellEnd"/>
      <w:r w:rsidR="00152DE2">
        <w:rPr>
          <w:rFonts w:ascii="Segoe UI Semilight" w:hAnsi="Segoe UI Semilight" w:cs="Segoe UI Semilight"/>
          <w:b/>
        </w:rPr>
        <w:t>, a. s.</w:t>
      </w:r>
      <w:r w:rsidR="005C1B2B">
        <w:rPr>
          <w:rFonts w:ascii="Segoe UI Semilight" w:hAnsi="Segoe UI Semilight" w:cs="Segoe UI Semilight"/>
          <w:b/>
        </w:rPr>
        <w:t xml:space="preserve"> a</w:t>
      </w:r>
      <w:r w:rsidR="00152DE2">
        <w:rPr>
          <w:rFonts w:ascii="Segoe UI Semilight" w:hAnsi="Segoe UI Semilight" w:cs="Segoe UI Semilight"/>
          <w:b/>
        </w:rPr>
        <w:t> </w:t>
      </w:r>
      <w:r w:rsidR="005C1B2B">
        <w:rPr>
          <w:rFonts w:ascii="Segoe UI Semilight" w:hAnsi="Segoe UI Semilight" w:cs="Segoe UI Semilight"/>
          <w:b/>
        </w:rPr>
        <w:t>Duslo</w:t>
      </w:r>
      <w:r w:rsidR="00152DE2">
        <w:rPr>
          <w:rFonts w:ascii="Segoe UI Semilight" w:hAnsi="Segoe UI Semilight" w:cs="Segoe UI Semilight"/>
          <w:b/>
        </w:rPr>
        <w:t xml:space="preserve">, </w:t>
      </w:r>
      <w:proofErr w:type="spellStart"/>
      <w:r w:rsidR="00152DE2">
        <w:rPr>
          <w:rFonts w:ascii="Segoe UI Semilight" w:hAnsi="Segoe UI Semilight" w:cs="Segoe UI Semilight"/>
          <w:b/>
        </w:rPr>
        <w:t>a.s</w:t>
      </w:r>
      <w:proofErr w:type="spellEnd"/>
      <w:r w:rsidR="00152DE2">
        <w:rPr>
          <w:rFonts w:ascii="Segoe UI Semilight" w:hAnsi="Segoe UI Semilight" w:cs="Segoe UI Semilight"/>
          <w:b/>
        </w:rPr>
        <w:t>.</w:t>
      </w:r>
      <w:r w:rsidR="005C1B2B">
        <w:rPr>
          <w:rFonts w:ascii="Segoe UI Semilight" w:hAnsi="Segoe UI Semilight" w:cs="Segoe UI Semilight"/>
          <w:b/>
        </w:rPr>
        <w:t>)</w:t>
      </w:r>
      <w:r w:rsidR="005C1B2B">
        <w:rPr>
          <w:rStyle w:val="Odkaznapoznmkupodiarou"/>
          <w:rFonts w:ascii="Segoe UI Semilight" w:hAnsi="Segoe UI Semilight" w:cs="Segoe UI Semilight"/>
          <w:b/>
        </w:rPr>
        <w:footnoteReference w:id="16"/>
      </w:r>
      <w:r w:rsidR="00B322AB">
        <w:rPr>
          <w:rFonts w:ascii="Segoe UI Semilight" w:hAnsi="Segoe UI Semilight" w:cs="Segoe UI Semilight"/>
          <w:b/>
        </w:rPr>
        <w:t xml:space="preserve"> mali od roku 2018 zníženú individuálnu sadzbu TPS a TSS o 95 %</w:t>
      </w:r>
      <w:r w:rsidR="006648BD">
        <w:rPr>
          <w:rFonts w:ascii="Segoe UI Semilight" w:hAnsi="Segoe UI Semilight" w:cs="Segoe UI Semilight"/>
          <w:b/>
        </w:rPr>
        <w:t xml:space="preserve"> (v roku 2021 o 90 %)</w:t>
      </w:r>
      <w:r w:rsidR="00B322AB">
        <w:rPr>
          <w:rFonts w:ascii="Segoe UI Semilight" w:hAnsi="Segoe UI Semilight" w:cs="Segoe UI Semilight"/>
          <w:b/>
        </w:rPr>
        <w:t>.</w:t>
      </w:r>
      <w:r w:rsidR="00B322AB">
        <w:rPr>
          <w:rFonts w:ascii="Segoe UI Semilight" w:hAnsi="Segoe UI Semilight" w:cs="Segoe UI Semilight"/>
        </w:rPr>
        <w:t xml:space="preserve"> </w:t>
      </w:r>
      <w:r w:rsidR="00C77264">
        <w:rPr>
          <w:rFonts w:ascii="Segoe UI Semilight" w:hAnsi="Segoe UI Semilight" w:cs="Segoe UI Semilight"/>
        </w:rPr>
        <w:t>Výška podpory</w:t>
      </w:r>
      <w:r w:rsidR="0002382F">
        <w:rPr>
          <w:rFonts w:ascii="Segoe UI Semilight" w:hAnsi="Segoe UI Semilight" w:cs="Segoe UI Semilight"/>
        </w:rPr>
        <w:t xml:space="preserve"> </w:t>
      </w:r>
      <w:r w:rsidR="00C77264">
        <w:rPr>
          <w:rFonts w:ascii="Segoe UI Semilight" w:hAnsi="Segoe UI Semilight" w:cs="Segoe UI Semilight"/>
        </w:rPr>
        <w:t>dosiahla</w:t>
      </w:r>
      <w:r w:rsidR="00A0652E">
        <w:rPr>
          <w:rFonts w:ascii="Segoe UI Semilight" w:hAnsi="Segoe UI Semilight" w:cs="Segoe UI Semilight"/>
        </w:rPr>
        <w:t xml:space="preserve"> pri TSS priemerne 4,85 mil. eur ročne</w:t>
      </w:r>
      <w:r w:rsidR="00B322AB">
        <w:rPr>
          <w:rFonts w:ascii="Segoe UI Semilight" w:hAnsi="Segoe UI Semilight" w:cs="Segoe UI Semilight"/>
        </w:rPr>
        <w:t xml:space="preserve"> a pri TPS </w:t>
      </w:r>
      <w:r w:rsidR="009F49EF">
        <w:rPr>
          <w:rFonts w:ascii="Segoe UI Semilight" w:hAnsi="Segoe UI Semilight" w:cs="Segoe UI Semilight"/>
        </w:rPr>
        <w:t>priemerne 18,88</w:t>
      </w:r>
      <w:r w:rsidR="00A0652E">
        <w:rPr>
          <w:rFonts w:ascii="Segoe UI Semilight" w:hAnsi="Segoe UI Semilight" w:cs="Segoe UI Semilight"/>
        </w:rPr>
        <w:t xml:space="preserve"> mil. eur ročne.</w:t>
      </w:r>
      <w:r w:rsidR="00B322AB">
        <w:rPr>
          <w:rFonts w:ascii="Segoe UI Semilight" w:hAnsi="Segoe UI Semilight" w:cs="Segoe UI Semilight"/>
        </w:rPr>
        <w:t xml:space="preserve"> Taktiež, pri splnení podmienok definovaných </w:t>
      </w:r>
      <w:r w:rsidR="005825CB">
        <w:rPr>
          <w:rFonts w:ascii="Segoe UI Semilight" w:hAnsi="Segoe UI Semilight" w:cs="Segoe UI Semilight"/>
        </w:rPr>
        <w:t>každoročne aktualizovanými vyhláškami</w:t>
      </w:r>
      <w:r w:rsidR="00B322AB">
        <w:rPr>
          <w:rFonts w:ascii="Segoe UI Semilight" w:hAnsi="Segoe UI Semilight" w:cs="Segoe UI Semilight"/>
        </w:rPr>
        <w:t xml:space="preserve"> ÚRSO, mohli energeticky náročné podniky získať cenové zvýhodnenie pri tarife za rezervovanú kapacitu a pri tarife </w:t>
      </w:r>
      <w:r w:rsidR="00152DE2">
        <w:rPr>
          <w:rFonts w:ascii="Segoe UI Semilight" w:hAnsi="Segoe UI Semilight" w:cs="Segoe UI Semilight"/>
        </w:rPr>
        <w:t xml:space="preserve">za </w:t>
      </w:r>
      <w:r w:rsidR="00B322AB">
        <w:rPr>
          <w:rFonts w:ascii="Segoe UI Semilight" w:hAnsi="Segoe UI Semilight" w:cs="Segoe UI Semilight"/>
        </w:rPr>
        <w:t>prenesenú elektrinu</w:t>
      </w:r>
      <w:r w:rsidR="0048313A">
        <w:rPr>
          <w:rStyle w:val="Odkaznapoznmkupodiarou"/>
          <w:rFonts w:ascii="Segoe UI Semilight" w:hAnsi="Segoe UI Semilight" w:cs="Segoe UI Semilight"/>
        </w:rPr>
        <w:footnoteReference w:id="17"/>
      </w:r>
      <w:r w:rsidR="00B322AB">
        <w:rPr>
          <w:rFonts w:ascii="Segoe UI Semilight" w:hAnsi="Segoe UI Semilight" w:cs="Segoe UI Semilight"/>
        </w:rPr>
        <w:t xml:space="preserve">. V sledovanom období si toto zvýhodnenie mohol uplatniť jeden subjekt (vo výške 50 % z tarify). Podpora bola medzi rokmi 2014 až 2019 ustálená a v súčasnosti má klesajúcu tendenciu, avšak príčinou je skôr znižovanie tarify než priame znižovanie zvýhodnenia. Zároveň </w:t>
      </w:r>
      <w:r w:rsidR="00152DE2">
        <w:rPr>
          <w:rFonts w:ascii="Segoe UI Semilight" w:hAnsi="Segoe UI Semilight" w:cs="Segoe UI Semilight"/>
        </w:rPr>
        <w:t>ide</w:t>
      </w:r>
      <w:r w:rsidR="00B322AB">
        <w:rPr>
          <w:rFonts w:ascii="Segoe UI Semilight" w:hAnsi="Segoe UI Semilight" w:cs="Segoe UI Semilight"/>
        </w:rPr>
        <w:t xml:space="preserve"> o</w:t>
      </w:r>
      <w:r w:rsidR="00152DE2">
        <w:rPr>
          <w:rFonts w:ascii="Segoe UI Semilight" w:hAnsi="Segoe UI Semilight" w:cs="Segoe UI Semilight"/>
        </w:rPr>
        <w:t> </w:t>
      </w:r>
      <w:r w:rsidR="00B322AB">
        <w:rPr>
          <w:rFonts w:ascii="Segoe UI Semilight" w:hAnsi="Segoe UI Semilight" w:cs="Segoe UI Semilight"/>
        </w:rPr>
        <w:t>krížové dotácie, kedy zníženie sadzby jednému odberateľovi znamená zvýšenie tejto sadzby inému.</w:t>
      </w:r>
      <w:r w:rsidR="00B322AB">
        <w:rPr>
          <w:rStyle w:val="Odkaznapoznmkupodiarou"/>
          <w:rFonts w:ascii="Segoe UI Semilight" w:hAnsi="Segoe UI Semilight" w:cs="Segoe UI Semilight"/>
        </w:rPr>
        <w:footnoteReference w:id="18"/>
      </w:r>
      <w:r w:rsidR="00B322AB">
        <w:rPr>
          <w:rFonts w:ascii="Segoe UI Semilight" w:hAnsi="Segoe UI Semilight" w:cs="Segoe UI Semilight"/>
        </w:rPr>
        <w:t xml:space="preserve"> </w:t>
      </w:r>
    </w:p>
    <w:p w14:paraId="2E6AA6AA" w14:textId="7AF0A1F7" w:rsidR="00B322AB" w:rsidRDefault="00B322AB" w:rsidP="00B322AB">
      <w:pPr>
        <w:spacing w:after="0"/>
        <w:rPr>
          <w:rFonts w:ascii="Segoe UI Semilight" w:hAnsi="Segoe UI Semilight" w:cs="Segoe UI Semilight"/>
        </w:rPr>
      </w:pPr>
      <w:r w:rsidRPr="00B322AB">
        <w:rPr>
          <w:rFonts w:ascii="Segoe UI Semilight" w:hAnsi="Segoe UI Semilight" w:cs="Segoe UI Semilight"/>
          <w:b/>
        </w:rPr>
        <w:t xml:space="preserve">Medzi nepriamu podporu na základe odporúčania metodiky OSN patria regulované ceny pre zraniteľných odberateľov. </w:t>
      </w:r>
      <w:r w:rsidRPr="00234FCF">
        <w:rPr>
          <w:rFonts w:ascii="Segoe UI Semilight" w:hAnsi="Segoe UI Semilight" w:cs="Segoe UI Semilight"/>
        </w:rPr>
        <w:t xml:space="preserve">Na Slovensku </w:t>
      </w:r>
      <w:r w:rsidR="00005503" w:rsidRPr="00234FCF">
        <w:rPr>
          <w:rFonts w:ascii="Segoe UI Semilight" w:hAnsi="Segoe UI Semilight" w:cs="Segoe UI Semilight"/>
        </w:rPr>
        <w:t>do tejto kategórie spadajú regulované ceny</w:t>
      </w:r>
      <w:r w:rsidR="001A2EFA" w:rsidRPr="00234FCF">
        <w:rPr>
          <w:rFonts w:ascii="Segoe UI Semilight" w:hAnsi="Segoe UI Semilight" w:cs="Segoe UI Semilight"/>
        </w:rPr>
        <w:t xml:space="preserve"> </w:t>
      </w:r>
      <w:r w:rsidRPr="00234FCF">
        <w:rPr>
          <w:rFonts w:ascii="Segoe UI Semilight" w:hAnsi="Segoe UI Semilight" w:cs="Segoe UI Semilight"/>
        </w:rPr>
        <w:t>čierneho uhlia</w:t>
      </w:r>
      <w:r w:rsidR="00234FCF">
        <w:rPr>
          <w:rFonts w:ascii="Segoe UI Semilight" w:hAnsi="Segoe UI Semilight" w:cs="Segoe UI Semilight"/>
        </w:rPr>
        <w:t xml:space="preserve"> </w:t>
      </w:r>
      <w:r w:rsidR="001A2EFA" w:rsidRPr="00234FCF">
        <w:rPr>
          <w:rFonts w:ascii="Segoe UI Semilight" w:hAnsi="Segoe UI Semilight" w:cs="Segoe UI Semilight"/>
        </w:rPr>
        <w:t xml:space="preserve">a </w:t>
      </w:r>
      <w:r w:rsidRPr="00234FCF">
        <w:rPr>
          <w:rFonts w:ascii="Segoe UI Semilight" w:hAnsi="Segoe UI Semilight" w:cs="Segoe UI Semilight"/>
        </w:rPr>
        <w:t>hnedého uhlia</w:t>
      </w:r>
      <w:r w:rsidR="001A2EFA" w:rsidRPr="00234FCF">
        <w:rPr>
          <w:rFonts w:ascii="Segoe UI Semilight" w:hAnsi="Segoe UI Semilight" w:cs="Segoe UI Semilight"/>
        </w:rPr>
        <w:t xml:space="preserve"> (v teple)</w:t>
      </w:r>
      <w:r w:rsidRPr="00234FCF">
        <w:rPr>
          <w:rFonts w:ascii="Segoe UI Semilight" w:hAnsi="Segoe UI Semilight" w:cs="Segoe UI Semilight"/>
        </w:rPr>
        <w:t xml:space="preserve">, zemného plynu </w:t>
      </w:r>
      <w:r w:rsidR="001A2EFA" w:rsidRPr="00234FCF">
        <w:rPr>
          <w:rFonts w:ascii="Segoe UI Semilight" w:hAnsi="Segoe UI Semilight" w:cs="Segoe UI Semilight"/>
        </w:rPr>
        <w:t xml:space="preserve">(v teple a pre zraniteľné subjekty) </w:t>
      </w:r>
      <w:r w:rsidRPr="00234FCF">
        <w:rPr>
          <w:rFonts w:ascii="Segoe UI Semilight" w:hAnsi="Segoe UI Semilight" w:cs="Segoe UI Semilight"/>
        </w:rPr>
        <w:t>a elektrickej energie</w:t>
      </w:r>
      <w:r w:rsidR="001A2EFA" w:rsidRPr="00234FCF">
        <w:rPr>
          <w:rFonts w:ascii="Segoe UI Semilight" w:hAnsi="Segoe UI Semilight" w:cs="Segoe UI Semilight"/>
        </w:rPr>
        <w:t xml:space="preserve"> (pre zraniteľné subjekty)</w:t>
      </w:r>
      <w:r w:rsidRPr="00234FCF">
        <w:rPr>
          <w:rFonts w:ascii="Segoe UI Semilight" w:hAnsi="Segoe UI Semilight" w:cs="Segoe UI Semilight"/>
        </w:rPr>
        <w:t>.</w:t>
      </w:r>
      <w:r>
        <w:rPr>
          <w:rFonts w:ascii="Segoe UI Semilight" w:hAnsi="Segoe UI Semilight" w:cs="Segoe UI Semilight"/>
          <w:b/>
        </w:rPr>
        <w:t xml:space="preserve"> </w:t>
      </w:r>
      <w:r>
        <w:rPr>
          <w:rFonts w:ascii="Segoe UI Semilight" w:hAnsi="Segoe UI Semilight" w:cs="Segoe UI Semilight"/>
        </w:rPr>
        <w:t>Cieľom je zabezpečiť zraniteľným odberateľom bezpečnú, udržateľnú, konkurencieschopnú a cenovo dostupnú energiu. Regulované subjekty (malé podniky a domácnosti) majú z pohľadu trhu nižšie sadzby ako ostatné subjekty v</w:t>
      </w:r>
      <w:r w:rsidR="00152DE2">
        <w:rPr>
          <w:rFonts w:ascii="Segoe UI Semilight" w:hAnsi="Segoe UI Semilight" w:cs="Segoe UI Semilight"/>
        </w:rPr>
        <w:t> </w:t>
      </w:r>
      <w:r>
        <w:rPr>
          <w:rFonts w:ascii="Segoe UI Semilight" w:hAnsi="Segoe UI Semilight" w:cs="Segoe UI Semilight"/>
        </w:rPr>
        <w:t>ekonomike</w:t>
      </w:r>
      <w:r w:rsidR="00152DE2">
        <w:rPr>
          <w:rFonts w:ascii="Segoe UI Semilight" w:hAnsi="Segoe UI Semilight" w:cs="Segoe UI Semilight"/>
        </w:rPr>
        <w:t>.</w:t>
      </w:r>
      <w:r>
        <w:rPr>
          <w:rFonts w:ascii="Segoe UI Semilight" w:hAnsi="Segoe UI Semilight" w:cs="Segoe UI Semilight"/>
        </w:rPr>
        <w:t xml:space="preserve"> </w:t>
      </w:r>
      <w:r w:rsidR="00152DE2">
        <w:rPr>
          <w:rFonts w:ascii="Segoe UI Semilight" w:hAnsi="Segoe UI Semilight" w:cs="Segoe UI Semilight"/>
        </w:rPr>
        <w:t xml:space="preserve">Cieľom </w:t>
      </w:r>
      <w:r>
        <w:rPr>
          <w:rFonts w:ascii="Segoe UI Semilight" w:hAnsi="Segoe UI Semilight" w:cs="Segoe UI Semilight"/>
        </w:rPr>
        <w:t>je skôr stabilita než znižovanie cien.</w:t>
      </w:r>
      <w:r>
        <w:rPr>
          <w:rStyle w:val="Odkaznapoznmkupodiarou"/>
          <w:rFonts w:ascii="Segoe UI Semilight" w:hAnsi="Segoe UI Semilight" w:cs="Segoe UI Semilight"/>
        </w:rPr>
        <w:footnoteReference w:id="19"/>
      </w:r>
      <w:r>
        <w:rPr>
          <w:rFonts w:ascii="Segoe UI Semilight" w:hAnsi="Segoe UI Semilight" w:cs="Segoe UI Semilight"/>
        </w:rPr>
        <w:t xml:space="preserve"> V nadväznosti na odporúčania metodiky OSN sa medzi nepriame dotácie zaraďuje aj regulovanie cien. Táto </w:t>
      </w:r>
      <w:r w:rsidR="00B950DF">
        <w:rPr>
          <w:rFonts w:ascii="Segoe UI Semilight" w:hAnsi="Segoe UI Semilight" w:cs="Segoe UI Semilight"/>
        </w:rPr>
        <w:t xml:space="preserve">kategória dotácie </w:t>
      </w:r>
      <w:r>
        <w:rPr>
          <w:rFonts w:ascii="Segoe UI Semilight" w:hAnsi="Segoe UI Semilight" w:cs="Segoe UI Semilight"/>
        </w:rPr>
        <w:t>však môže nadobúdať aj záporné hodnoty, keďže regulovaná cena bola niekedy vyššia ako trhová.</w:t>
      </w:r>
    </w:p>
    <w:p w14:paraId="60806834" w14:textId="4D750ECF" w:rsidR="005301E0" w:rsidRDefault="00B322AB" w:rsidP="00B322AB">
      <w:pPr>
        <w:spacing w:after="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Pri </w:t>
      </w:r>
      <w:proofErr w:type="spellStart"/>
      <w:r>
        <w:rPr>
          <w:rFonts w:ascii="Segoe UI Semilight" w:hAnsi="Segoe UI Semilight" w:cs="Segoe UI Semilight"/>
        </w:rPr>
        <w:t>elektroenergetike</w:t>
      </w:r>
      <w:proofErr w:type="spellEnd"/>
      <w:r>
        <w:rPr>
          <w:rFonts w:ascii="Segoe UI Semilight" w:hAnsi="Segoe UI Semilight" w:cs="Segoe UI Semilight"/>
        </w:rPr>
        <w:t xml:space="preserve"> sa na trhu s elektrinou začali určovať regulované ceny silovej elektriny (bez diagramu a odchýlky) v roku 2017. Záporné dotácie boli</w:t>
      </w:r>
      <w:r w:rsidR="005E725D">
        <w:rPr>
          <w:rFonts w:ascii="Segoe UI Semilight" w:hAnsi="Segoe UI Semilight" w:cs="Segoe UI Semilight"/>
        </w:rPr>
        <w:t xml:space="preserve"> zaznamenané</w:t>
      </w:r>
      <w:r>
        <w:rPr>
          <w:rFonts w:ascii="Segoe UI Semilight" w:hAnsi="Segoe UI Semilight" w:cs="Segoe UI Semilight"/>
        </w:rPr>
        <w:t xml:space="preserve"> len v roku 2020, kedy spotová cena na burze klesla o 7 €/MWh a domáca regulovaná cena stúpla medziročne o 11,</w:t>
      </w:r>
      <w:r w:rsidR="005B247D">
        <w:rPr>
          <w:rFonts w:ascii="Segoe UI Semilight" w:hAnsi="Segoe UI Semilight" w:cs="Segoe UI Semilight"/>
        </w:rPr>
        <w:t>36 </w:t>
      </w:r>
      <w:r>
        <w:rPr>
          <w:rFonts w:ascii="Segoe UI Semilight" w:hAnsi="Segoe UI Semilight" w:cs="Segoe UI Semilight"/>
        </w:rPr>
        <w:t xml:space="preserve">€/MWh. </w:t>
      </w:r>
    </w:p>
    <w:p w14:paraId="4C88A1BF" w14:textId="4F6994BE" w:rsidR="00B322AB" w:rsidRDefault="007C6104" w:rsidP="00B322AB">
      <w:pPr>
        <w:spacing w:after="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V segmente teplárenstva nie je regulovaná priamo cena komodity a koncová cena, ale regulácia prebieha na úrovni vstupov do výroby tepla.</w:t>
      </w:r>
      <w:r w:rsidR="00B322AB">
        <w:rPr>
          <w:rFonts w:ascii="Segoe UI Semilight" w:hAnsi="Segoe UI Semilight" w:cs="Segoe UI Semilight"/>
        </w:rPr>
        <w:t xml:space="preserve"> </w:t>
      </w:r>
      <w:r>
        <w:rPr>
          <w:rFonts w:ascii="Segoe UI Semilight" w:hAnsi="Segoe UI Semilight" w:cs="Segoe UI Semilight"/>
        </w:rPr>
        <w:t xml:space="preserve">Spomedzi fosílnych palív </w:t>
      </w:r>
      <w:r w:rsidR="005B247D">
        <w:rPr>
          <w:rFonts w:ascii="Segoe UI Semilight" w:hAnsi="Segoe UI Semilight" w:cs="Segoe UI Semilight"/>
        </w:rPr>
        <w:t xml:space="preserve">sú </w:t>
      </w:r>
      <w:r>
        <w:rPr>
          <w:rFonts w:ascii="Segoe UI Semilight" w:hAnsi="Segoe UI Semilight" w:cs="Segoe UI Semilight"/>
        </w:rPr>
        <w:t xml:space="preserve">takto regulované vstupná cena </w:t>
      </w:r>
      <w:r w:rsidR="00CF2985">
        <w:rPr>
          <w:rFonts w:ascii="Segoe UI Semilight" w:hAnsi="Segoe UI Semilight" w:cs="Segoe UI Semilight"/>
        </w:rPr>
        <w:t xml:space="preserve">zemného </w:t>
      </w:r>
      <w:r>
        <w:rPr>
          <w:rFonts w:ascii="Segoe UI Semilight" w:hAnsi="Segoe UI Semilight" w:cs="Segoe UI Semilight"/>
        </w:rPr>
        <w:t>plynu, čierneho</w:t>
      </w:r>
      <w:r w:rsidR="00CF2985">
        <w:rPr>
          <w:rFonts w:ascii="Segoe UI Semilight" w:hAnsi="Segoe UI Semilight" w:cs="Segoe UI Semilight"/>
        </w:rPr>
        <w:t xml:space="preserve"> uhlia</w:t>
      </w:r>
      <w:r>
        <w:rPr>
          <w:rFonts w:ascii="Segoe UI Semilight" w:hAnsi="Segoe UI Semilight" w:cs="Segoe UI Semilight"/>
        </w:rPr>
        <w:t xml:space="preserve"> a hnedého uhlia.</w:t>
      </w:r>
      <w:r w:rsidR="00B322AB">
        <w:rPr>
          <w:rFonts w:ascii="Segoe UI Semilight" w:hAnsi="Segoe UI Semilight" w:cs="Segoe UI Semilight"/>
        </w:rPr>
        <w:t xml:space="preserve"> </w:t>
      </w:r>
      <w:r>
        <w:rPr>
          <w:rFonts w:ascii="Segoe UI Semilight" w:hAnsi="Segoe UI Semilight" w:cs="Segoe UI Semilight"/>
        </w:rPr>
        <w:t>Do roku 2021 nenastala situácia, kedy by boli</w:t>
      </w:r>
      <w:r w:rsidR="00B322AB">
        <w:rPr>
          <w:rFonts w:ascii="Segoe UI Semilight" w:hAnsi="Segoe UI Semilight" w:cs="Segoe UI Semilight"/>
        </w:rPr>
        <w:t xml:space="preserve"> regulované ceny </w:t>
      </w:r>
      <w:r w:rsidR="00CF2985">
        <w:rPr>
          <w:rFonts w:ascii="Segoe UI Semilight" w:hAnsi="Segoe UI Semilight" w:cs="Segoe UI Semilight"/>
        </w:rPr>
        <w:t>vstupných fosílnych palív</w:t>
      </w:r>
      <w:r>
        <w:rPr>
          <w:rFonts w:ascii="Segoe UI Semilight" w:hAnsi="Segoe UI Semilight" w:cs="Segoe UI Semilight"/>
        </w:rPr>
        <w:t xml:space="preserve"> </w:t>
      </w:r>
      <w:r w:rsidR="00B322AB">
        <w:rPr>
          <w:rFonts w:ascii="Segoe UI Semilight" w:hAnsi="Segoe UI Semilight" w:cs="Segoe UI Semilight"/>
        </w:rPr>
        <w:t>v cene tepla vyššie ako ceny na referenčnej burze alebo na trhu.</w:t>
      </w:r>
      <w:r>
        <w:rPr>
          <w:rFonts w:ascii="Segoe UI Semilight" w:hAnsi="Segoe UI Semilight" w:cs="Segoe UI Semilight"/>
        </w:rPr>
        <w:t xml:space="preserve"> Z toho dôvodu zatiaľ </w:t>
      </w:r>
      <w:r w:rsidR="005B247D">
        <w:rPr>
          <w:rFonts w:ascii="Segoe UI Semilight" w:hAnsi="Segoe UI Semilight" w:cs="Segoe UI Semilight"/>
        </w:rPr>
        <w:t xml:space="preserve">neboli </w:t>
      </w:r>
      <w:r w:rsidR="00B950DF">
        <w:rPr>
          <w:rFonts w:ascii="Segoe UI Semilight" w:hAnsi="Segoe UI Semilight" w:cs="Segoe UI Semilight"/>
        </w:rPr>
        <w:t xml:space="preserve">kladné </w:t>
      </w:r>
      <w:r>
        <w:rPr>
          <w:rFonts w:ascii="Segoe UI Semilight" w:hAnsi="Segoe UI Semilight" w:cs="Segoe UI Semilight"/>
        </w:rPr>
        <w:t>nepriame dotácie v segmente tepla evidované.</w:t>
      </w:r>
      <w:r w:rsidR="00B322AB">
        <w:rPr>
          <w:rFonts w:ascii="Segoe UI Semilight" w:hAnsi="Segoe UI Semilight" w:cs="Segoe UI Semilight"/>
        </w:rPr>
        <w:t xml:space="preserve"> Na trhu s plynom prevažovali kladné dotácie (ušlý zisk) </w:t>
      </w:r>
      <w:r w:rsidR="005B247D">
        <w:rPr>
          <w:rFonts w:ascii="Segoe UI Semilight" w:hAnsi="Segoe UI Semilight" w:cs="Segoe UI Semilight"/>
        </w:rPr>
        <w:t>v </w:t>
      </w:r>
      <w:r w:rsidR="00B322AB">
        <w:rPr>
          <w:rFonts w:ascii="Segoe UI Semilight" w:hAnsi="Segoe UI Semilight" w:cs="Segoe UI Semilight"/>
        </w:rPr>
        <w:t xml:space="preserve">rokoch 2017, 2018 a 2021, kedy bola trhová cena o niečo vyššia ako </w:t>
      </w:r>
      <w:r w:rsidR="005B247D">
        <w:rPr>
          <w:rFonts w:ascii="Segoe UI Semilight" w:hAnsi="Segoe UI Semilight" w:cs="Segoe UI Semilight"/>
        </w:rPr>
        <w:t xml:space="preserve">cena </w:t>
      </w:r>
      <w:r w:rsidR="00B322AB">
        <w:rPr>
          <w:rFonts w:ascii="Segoe UI Semilight" w:hAnsi="Segoe UI Semilight" w:cs="Segoe UI Semilight"/>
        </w:rPr>
        <w:t xml:space="preserve">regulovaná. V ostatných rokoch </w:t>
      </w:r>
      <w:r w:rsidR="005B247D">
        <w:rPr>
          <w:rFonts w:ascii="Segoe UI Semilight" w:hAnsi="Segoe UI Semilight" w:cs="Segoe UI Semilight"/>
        </w:rPr>
        <w:t xml:space="preserve">je možné pozorovať </w:t>
      </w:r>
      <w:r w:rsidR="00B322AB">
        <w:rPr>
          <w:rFonts w:ascii="Segoe UI Semilight" w:hAnsi="Segoe UI Semilight" w:cs="Segoe UI Semilight"/>
        </w:rPr>
        <w:t xml:space="preserve">opačný trend. </w:t>
      </w:r>
    </w:p>
    <w:p w14:paraId="30B1FBFF" w14:textId="1AA624D1" w:rsidR="00B322AB" w:rsidRDefault="00B322AB" w:rsidP="001313AF">
      <w:pPr>
        <w:pStyle w:val="Popis"/>
        <w:keepNext/>
        <w:spacing w:before="120" w:after="0"/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</w:pPr>
      <w:r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lastRenderedPageBreak/>
        <w:t>G</w:t>
      </w:r>
      <w:r w:rsidR="00E17356"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t>raf 5: Rozdiel medzi regulovanými a priemernými spotovými cenami</w:t>
      </w:r>
      <w:r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t xml:space="preserve"> fosílnych palív (</w:t>
      </w:r>
      <w:r w:rsidR="00FC6AC3"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t>v </w:t>
      </w:r>
      <w:r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t>€/MWh)</w:t>
      </w:r>
    </w:p>
    <w:tbl>
      <w:tblPr>
        <w:tblStyle w:val="Mriekatabuky"/>
        <w:tblW w:w="0" w:type="auto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E17356" w14:paraId="568BBC15" w14:textId="77777777" w:rsidTr="0013666B">
        <w:tc>
          <w:tcPr>
            <w:tcW w:w="9062" w:type="dxa"/>
          </w:tcPr>
          <w:p w14:paraId="5277BC9D" w14:textId="411DF4F4" w:rsidR="00E17356" w:rsidRDefault="0013666B" w:rsidP="00B322AB">
            <w:pPr>
              <w:keepNext/>
            </w:pPr>
            <w:r>
              <w:rPr>
                <w:noProof/>
                <w:lang w:eastAsia="sk-SK"/>
              </w:rPr>
              <w:drawing>
                <wp:inline distT="0" distB="0" distL="0" distR="0" wp14:anchorId="354B09C3" wp14:editId="46E3AEAF">
                  <wp:extent cx="5760720" cy="2959200"/>
                  <wp:effectExtent l="0" t="0" r="0" b="0"/>
                  <wp:docPr id="1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</w:tbl>
    <w:p w14:paraId="371D36C9" w14:textId="51F68DD8" w:rsidR="00B322AB" w:rsidRPr="009111A4" w:rsidRDefault="00E17356" w:rsidP="00B322AB">
      <w:pPr>
        <w:keepNext/>
        <w:spacing w:after="0"/>
        <w:rPr>
          <w:rFonts w:ascii="Segoe UI Semilight" w:hAnsi="Segoe UI Semilight" w:cs="Segoe UI Semilight"/>
          <w:sz w:val="14"/>
        </w:rPr>
      </w:pPr>
      <w:r w:rsidRPr="009111A4">
        <w:rPr>
          <w:rFonts w:ascii="Segoe UI Semilight" w:hAnsi="Segoe UI Semilight" w:cs="Segoe UI Semilight"/>
          <w:sz w:val="14"/>
        </w:rPr>
        <w:t>Pozn.: V prípade silovej elektriny ide o</w:t>
      </w:r>
      <w:r w:rsidR="005E3106">
        <w:rPr>
          <w:rFonts w:ascii="Segoe UI Semilight" w:hAnsi="Segoe UI Semilight" w:cs="Segoe UI Semilight"/>
          <w:sz w:val="14"/>
        </w:rPr>
        <w:t> </w:t>
      </w:r>
      <w:r w:rsidRPr="009111A4">
        <w:rPr>
          <w:rFonts w:ascii="Segoe UI Semilight" w:hAnsi="Segoe UI Semilight" w:cs="Segoe UI Semilight"/>
          <w:sz w:val="14"/>
        </w:rPr>
        <w:t>priemernú</w:t>
      </w:r>
      <w:r w:rsidR="005E3106">
        <w:rPr>
          <w:rFonts w:ascii="Segoe UI Semilight" w:hAnsi="Segoe UI Semilight" w:cs="Segoe UI Semilight"/>
          <w:sz w:val="14"/>
        </w:rPr>
        <w:t xml:space="preserve"> </w:t>
      </w:r>
      <w:proofErr w:type="spellStart"/>
      <w:r w:rsidR="005E3106">
        <w:rPr>
          <w:rFonts w:ascii="Segoe UI Semilight" w:hAnsi="Segoe UI Semilight" w:cs="Segoe UI Semilight"/>
          <w:sz w:val="14"/>
        </w:rPr>
        <w:t>day</w:t>
      </w:r>
      <w:proofErr w:type="spellEnd"/>
      <w:r w:rsidR="005E3106">
        <w:rPr>
          <w:rFonts w:ascii="Segoe UI Semilight" w:hAnsi="Segoe UI Semilight" w:cs="Segoe UI Semilight"/>
          <w:sz w:val="14"/>
        </w:rPr>
        <w:t xml:space="preserve">- </w:t>
      </w:r>
      <w:proofErr w:type="spellStart"/>
      <w:r w:rsidR="005E3106">
        <w:rPr>
          <w:rFonts w:ascii="Segoe UI Semilight" w:hAnsi="Segoe UI Semilight" w:cs="Segoe UI Semilight"/>
          <w:sz w:val="14"/>
        </w:rPr>
        <w:t>ahead</w:t>
      </w:r>
      <w:proofErr w:type="spellEnd"/>
      <w:r w:rsidRPr="009111A4">
        <w:rPr>
          <w:rFonts w:ascii="Segoe UI Semilight" w:hAnsi="Segoe UI Semilight" w:cs="Segoe UI Semilight"/>
          <w:sz w:val="14"/>
        </w:rPr>
        <w:t xml:space="preserve"> spotovú cenu na referenčnej burze, v ostatných prípadoch o</w:t>
      </w:r>
      <w:r w:rsidR="00273141">
        <w:rPr>
          <w:rFonts w:ascii="Segoe UI Semilight" w:hAnsi="Segoe UI Semilight" w:cs="Segoe UI Semilight"/>
          <w:sz w:val="14"/>
        </w:rPr>
        <w:t> </w:t>
      </w:r>
      <w:r w:rsidRPr="009111A4">
        <w:rPr>
          <w:rFonts w:ascii="Segoe UI Semilight" w:hAnsi="Segoe UI Semilight" w:cs="Segoe UI Semilight"/>
          <w:sz w:val="14"/>
        </w:rPr>
        <w:t>priemernú</w:t>
      </w:r>
      <w:r w:rsidR="00273141">
        <w:rPr>
          <w:rFonts w:ascii="Segoe UI Semilight" w:hAnsi="Segoe UI Semilight" w:cs="Segoe UI Semilight"/>
          <w:sz w:val="14"/>
        </w:rPr>
        <w:t xml:space="preserve"> </w:t>
      </w:r>
      <w:proofErr w:type="spellStart"/>
      <w:r w:rsidR="00273141">
        <w:rPr>
          <w:rFonts w:ascii="Segoe UI Semilight" w:hAnsi="Segoe UI Semilight" w:cs="Segoe UI Semilight"/>
          <w:sz w:val="14"/>
        </w:rPr>
        <w:t>day-ahead</w:t>
      </w:r>
      <w:proofErr w:type="spellEnd"/>
      <w:r w:rsidRPr="009111A4">
        <w:rPr>
          <w:rFonts w:ascii="Segoe UI Semilight" w:hAnsi="Segoe UI Semilight" w:cs="Segoe UI Semilight"/>
          <w:sz w:val="14"/>
        </w:rPr>
        <w:t xml:space="preserve"> spotovú cenu na trhu.</w:t>
      </w:r>
    </w:p>
    <w:p w14:paraId="531E1C87" w14:textId="2C4829EB" w:rsidR="00B322AB" w:rsidRPr="001313AF" w:rsidRDefault="00B322AB" w:rsidP="001313AF">
      <w:pPr>
        <w:pStyle w:val="Popis"/>
        <w:jc w:val="right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  <w:iCs w:val="0"/>
          <w:color w:val="auto"/>
          <w:sz w:val="22"/>
          <w:szCs w:val="22"/>
        </w:rPr>
        <w:t>Zdroj</w:t>
      </w:r>
      <w:r>
        <w:t xml:space="preserve">: </w:t>
      </w:r>
      <w:r>
        <w:rPr>
          <w:rFonts w:ascii="Segoe UI Semilight" w:hAnsi="Segoe UI Semilight" w:cs="Segoe UI Semilight"/>
          <w:iCs w:val="0"/>
          <w:color w:val="auto"/>
          <w:sz w:val="22"/>
          <w:szCs w:val="22"/>
        </w:rPr>
        <w:t>Výpočty IHA na základe dát ÚRSO</w:t>
      </w:r>
    </w:p>
    <w:p w14:paraId="603FEA6A" w14:textId="77777777" w:rsidR="00B322AB" w:rsidRPr="00B322AB" w:rsidRDefault="00B322AB" w:rsidP="00D114A5">
      <w:pPr>
        <w:pStyle w:val="Nadpis2"/>
        <w:spacing w:before="240"/>
      </w:pPr>
      <w:bookmarkStart w:id="12" w:name="_Toc121990626"/>
      <w:bookmarkStart w:id="13" w:name="_Toc121993849"/>
      <w:r w:rsidRPr="00B322AB">
        <w:t>Slovensko v rámci EÚ</w:t>
      </w:r>
      <w:bookmarkEnd w:id="12"/>
      <w:bookmarkEnd w:id="13"/>
    </w:p>
    <w:p w14:paraId="44AC5EB9" w14:textId="58900862" w:rsidR="00954E68" w:rsidRDefault="00FC6AC3" w:rsidP="001313AF">
      <w:pPr>
        <w:spacing w:after="0"/>
        <w:rPr>
          <w:rFonts w:ascii="Segoe UI Semilight" w:hAnsi="Segoe UI Semilight" w:cs="Segoe UI Semilight"/>
          <w:b/>
        </w:rPr>
      </w:pPr>
      <w:r>
        <w:rPr>
          <w:rFonts w:ascii="Segoe UI Semilight" w:hAnsi="Segoe UI Semilight" w:cs="Segoe UI Semilight"/>
        </w:rPr>
        <w:t>Na základe m</w:t>
      </w:r>
      <w:r w:rsidR="00FF1AE3" w:rsidRPr="00CD7EB9">
        <w:rPr>
          <w:rFonts w:ascii="Segoe UI Semilight" w:hAnsi="Segoe UI Semilight" w:cs="Segoe UI Semilight"/>
        </w:rPr>
        <w:t>etodik</w:t>
      </w:r>
      <w:r>
        <w:rPr>
          <w:rFonts w:ascii="Segoe UI Semilight" w:hAnsi="Segoe UI Semilight" w:cs="Segoe UI Semilight"/>
        </w:rPr>
        <w:t>y</w:t>
      </w:r>
      <w:r w:rsidR="00FF1AE3" w:rsidRPr="00CD7EB9">
        <w:rPr>
          <w:rFonts w:ascii="Segoe UI Semilight" w:hAnsi="Segoe UI Semilight" w:cs="Segoe UI Semilight"/>
        </w:rPr>
        <w:t xml:space="preserve"> OSN, pomocou ktorej bol vypracovaný materiál, v súčasnosti vykazuje predmetný indikátor nedostatočný počet krajín</w:t>
      </w:r>
      <w:r w:rsidR="00FF1AE3" w:rsidRPr="00CD7EB9">
        <w:rPr>
          <w:rStyle w:val="Odkaznapoznmkupodiarou"/>
          <w:rFonts w:ascii="Segoe UI Semilight" w:hAnsi="Segoe UI Semilight" w:cs="Segoe UI Semilight"/>
        </w:rPr>
        <w:footnoteReference w:id="20"/>
      </w:r>
      <w:r w:rsidR="00CD7EB9">
        <w:rPr>
          <w:rFonts w:ascii="Segoe UI Semilight" w:hAnsi="Segoe UI Semilight" w:cs="Segoe UI Semilight"/>
          <w:b/>
        </w:rPr>
        <w:t xml:space="preserve">. </w:t>
      </w:r>
      <w:r w:rsidRPr="00C239BE">
        <w:rPr>
          <w:rFonts w:ascii="Segoe UI Semilight" w:hAnsi="Segoe UI Semilight" w:cs="Segoe UI Semilight"/>
        </w:rPr>
        <w:t>Z tohto hľadiska</w:t>
      </w:r>
      <w:r>
        <w:rPr>
          <w:rFonts w:ascii="Segoe UI Semilight" w:hAnsi="Segoe UI Semilight" w:cs="Segoe UI Semilight"/>
          <w:b/>
        </w:rPr>
        <w:t xml:space="preserve"> </w:t>
      </w:r>
      <w:r>
        <w:rPr>
          <w:rFonts w:ascii="Segoe UI Semilight" w:hAnsi="Segoe UI Semilight" w:cs="Segoe UI Semilight"/>
        </w:rPr>
        <w:t>m</w:t>
      </w:r>
      <w:r w:rsidRPr="00A0652E">
        <w:rPr>
          <w:rFonts w:ascii="Segoe UI Semilight" w:hAnsi="Segoe UI Semilight" w:cs="Segoe UI Semilight"/>
        </w:rPr>
        <w:t xml:space="preserve">edzinárodné </w:t>
      </w:r>
      <w:r w:rsidR="00DC47C0" w:rsidRPr="00A0652E">
        <w:rPr>
          <w:rFonts w:ascii="Segoe UI Semilight" w:hAnsi="Segoe UI Semilight" w:cs="Segoe UI Semilight"/>
        </w:rPr>
        <w:t xml:space="preserve">porovnanie </w:t>
      </w:r>
      <w:r>
        <w:rPr>
          <w:rFonts w:ascii="Segoe UI Semilight" w:hAnsi="Segoe UI Semilight" w:cs="Segoe UI Semilight"/>
        </w:rPr>
        <w:t xml:space="preserve">nie je </w:t>
      </w:r>
      <w:r w:rsidR="00DC47C0" w:rsidRPr="00A0652E">
        <w:rPr>
          <w:rFonts w:ascii="Segoe UI Semilight" w:hAnsi="Segoe UI Semilight" w:cs="Segoe UI Semilight"/>
        </w:rPr>
        <w:t xml:space="preserve"> aktuálne možné. </w:t>
      </w:r>
      <w:r w:rsidR="005B247D">
        <w:rPr>
          <w:rFonts w:ascii="Segoe UI Semilight" w:hAnsi="Segoe UI Semilight" w:cs="Segoe UI Semilight"/>
        </w:rPr>
        <w:t>S cieľom</w:t>
      </w:r>
      <w:r w:rsidR="00DC47C0" w:rsidRPr="00A0652E">
        <w:rPr>
          <w:rFonts w:ascii="Segoe UI Semilight" w:hAnsi="Segoe UI Semilight" w:cs="Segoe UI Semilight"/>
        </w:rPr>
        <w:t xml:space="preserve"> indikatívneho porovnania</w:t>
      </w:r>
      <w:r w:rsidR="00DC47C0">
        <w:rPr>
          <w:rFonts w:ascii="Segoe UI Semilight" w:hAnsi="Segoe UI Semilight" w:cs="Segoe UI Semilight"/>
        </w:rPr>
        <w:t xml:space="preserve"> Slovenska s ostatnými krajinami EÚ</w:t>
      </w:r>
      <w:r w:rsidR="00DC47C0">
        <w:rPr>
          <w:rFonts w:ascii="Segoe UI Semilight" w:hAnsi="Segoe UI Semilight" w:cs="Segoe UI Semilight"/>
          <w:b/>
        </w:rPr>
        <w:t xml:space="preserve"> </w:t>
      </w:r>
      <w:r w:rsidR="00CD7EB9">
        <w:rPr>
          <w:rFonts w:ascii="Segoe UI Semilight" w:hAnsi="Segoe UI Semilight" w:cs="Segoe UI Semilight"/>
        </w:rPr>
        <w:t>boli použité zosúladené dáta IEA, OECD a</w:t>
      </w:r>
      <w:r w:rsidR="00116B5C">
        <w:rPr>
          <w:rFonts w:ascii="Segoe UI Semilight" w:hAnsi="Segoe UI Semilight" w:cs="Segoe UI Semilight"/>
        </w:rPr>
        <w:t> Medzinárodného menového fondu</w:t>
      </w:r>
      <w:r w:rsidR="00CD7EB9">
        <w:rPr>
          <w:rFonts w:ascii="Segoe UI Semilight" w:hAnsi="Segoe UI Semilight" w:cs="Segoe UI Semilight"/>
        </w:rPr>
        <w:t xml:space="preserve">, ktoré </w:t>
      </w:r>
      <w:r w:rsidR="0094604E">
        <w:rPr>
          <w:rFonts w:ascii="Segoe UI Semilight" w:hAnsi="Segoe UI Semilight" w:cs="Segoe UI Semilight"/>
        </w:rPr>
        <w:t xml:space="preserve">zhromažďuje </w:t>
      </w:r>
      <w:r w:rsidR="00CD7EB9">
        <w:rPr>
          <w:rFonts w:ascii="Segoe UI Semilight" w:hAnsi="Segoe UI Semilight" w:cs="Segoe UI Semilight"/>
        </w:rPr>
        <w:t xml:space="preserve">organizácia </w:t>
      </w:r>
      <w:proofErr w:type="spellStart"/>
      <w:r w:rsidR="00CD7EB9">
        <w:rPr>
          <w:rFonts w:ascii="Segoe UI Semilight" w:hAnsi="Segoe UI Semilight" w:cs="Segoe UI Semilight"/>
        </w:rPr>
        <w:t>Our</w:t>
      </w:r>
      <w:proofErr w:type="spellEnd"/>
      <w:r w:rsidR="00CD7EB9">
        <w:rPr>
          <w:rFonts w:ascii="Segoe UI Semilight" w:hAnsi="Segoe UI Semilight" w:cs="Segoe UI Semilight"/>
        </w:rPr>
        <w:t xml:space="preserve"> </w:t>
      </w:r>
      <w:proofErr w:type="spellStart"/>
      <w:r w:rsidR="00CD7EB9">
        <w:rPr>
          <w:rFonts w:ascii="Segoe UI Semilight" w:hAnsi="Segoe UI Semilight" w:cs="Segoe UI Semilight"/>
        </w:rPr>
        <w:t>World</w:t>
      </w:r>
      <w:proofErr w:type="spellEnd"/>
      <w:r w:rsidR="00CD7EB9">
        <w:rPr>
          <w:rFonts w:ascii="Segoe UI Semilight" w:hAnsi="Segoe UI Semilight" w:cs="Segoe UI Semilight"/>
        </w:rPr>
        <w:t xml:space="preserve"> In </w:t>
      </w:r>
      <w:proofErr w:type="spellStart"/>
      <w:r w:rsidR="00CD7EB9">
        <w:rPr>
          <w:rFonts w:ascii="Segoe UI Semilight" w:hAnsi="Segoe UI Semilight" w:cs="Segoe UI Semilight"/>
        </w:rPr>
        <w:t>Data</w:t>
      </w:r>
      <w:proofErr w:type="spellEnd"/>
      <w:r w:rsidR="00B1568A">
        <w:rPr>
          <w:rFonts w:ascii="Segoe UI Semilight" w:hAnsi="Segoe UI Semilight" w:cs="Segoe UI Semilight"/>
        </w:rPr>
        <w:t xml:space="preserve"> (</w:t>
      </w:r>
      <w:proofErr w:type="spellStart"/>
      <w:r w:rsidR="00B1568A">
        <w:rPr>
          <w:rFonts w:ascii="Segoe UI Semilight" w:hAnsi="Segoe UI Semilight" w:cs="Segoe UI Semilight"/>
        </w:rPr>
        <w:t>ďale</w:t>
      </w:r>
      <w:proofErr w:type="spellEnd"/>
      <w:r w:rsidR="00B1568A">
        <w:rPr>
          <w:rFonts w:ascii="Segoe UI Semilight" w:hAnsi="Segoe UI Semilight" w:cs="Segoe UI Semilight"/>
        </w:rPr>
        <w:t xml:space="preserve"> aj „</w:t>
      </w:r>
      <w:proofErr w:type="spellStart"/>
      <w:r w:rsidR="00B1568A">
        <w:rPr>
          <w:rFonts w:ascii="Segoe UI Semilight" w:hAnsi="Segoe UI Semilight" w:cs="Segoe UI Semilight"/>
        </w:rPr>
        <w:t>OWiD</w:t>
      </w:r>
      <w:proofErr w:type="spellEnd"/>
      <w:r w:rsidR="00B1568A">
        <w:rPr>
          <w:rFonts w:ascii="Segoe UI Semilight" w:hAnsi="Segoe UI Semilight" w:cs="Segoe UI Semilight"/>
        </w:rPr>
        <w:t>“)</w:t>
      </w:r>
      <w:r w:rsidR="00CD7EB9">
        <w:rPr>
          <w:rFonts w:ascii="Segoe UI Semilight" w:hAnsi="Segoe UI Semilight" w:cs="Segoe UI Semilight"/>
        </w:rPr>
        <w:t>.</w:t>
      </w:r>
      <w:r w:rsidR="00CD7EB9">
        <w:rPr>
          <w:rStyle w:val="Odkaznapoznmkupodiarou"/>
          <w:rFonts w:ascii="Segoe UI Semilight" w:hAnsi="Segoe UI Semilight" w:cs="Segoe UI Semilight"/>
        </w:rPr>
        <w:footnoteReference w:id="21"/>
      </w:r>
      <w:r w:rsidR="00CD7EB9">
        <w:rPr>
          <w:rFonts w:ascii="Segoe UI Semilight" w:hAnsi="Segoe UI Semilight" w:cs="Segoe UI Semilight"/>
        </w:rPr>
        <w:t xml:space="preserve"> </w:t>
      </w:r>
    </w:p>
    <w:p w14:paraId="4752400A" w14:textId="5B448D87" w:rsidR="004600C9" w:rsidRPr="004600C9" w:rsidRDefault="004765C9" w:rsidP="00BD1A0B">
      <w:pPr>
        <w:spacing w:after="0"/>
        <w:rPr>
          <w:rFonts w:ascii="Segoe UI Semilight" w:hAnsi="Segoe UI Semilight" w:cs="Segoe UI Semilight"/>
          <w:b/>
        </w:rPr>
      </w:pPr>
      <w:r>
        <w:rPr>
          <w:rFonts w:ascii="Segoe UI Semilight" w:hAnsi="Segoe UI Semilight" w:cs="Segoe UI Semilight"/>
          <w:b/>
        </w:rPr>
        <w:t>Slovensko malo</w:t>
      </w:r>
      <w:r w:rsidR="00B322AB" w:rsidRPr="00B322AB">
        <w:rPr>
          <w:rFonts w:ascii="Segoe UI Semilight" w:hAnsi="Segoe UI Semilight" w:cs="Segoe UI Semilight"/>
          <w:b/>
        </w:rPr>
        <w:t xml:space="preserve"> v rámci EÚ jeden z najnižších podielov dotácii na fosílne palivá na jednotku HDP, pričom bolo v roku 2020 na 10. priečke.</w:t>
      </w:r>
      <w:r w:rsidR="00B322AB" w:rsidRPr="00B322AB">
        <w:rPr>
          <w:rStyle w:val="Odkaznapoznmkupodiarou"/>
          <w:rFonts w:ascii="Segoe UI Semilight" w:hAnsi="Segoe UI Semilight" w:cs="Segoe UI Semilight"/>
          <w:b/>
        </w:rPr>
        <w:footnoteReference w:id="22"/>
      </w:r>
      <w:r w:rsidR="00954E68">
        <w:rPr>
          <w:rFonts w:ascii="Segoe UI Semilight" w:hAnsi="Segoe UI Semilight" w:cs="Segoe UI Semilight"/>
          <w:b/>
        </w:rPr>
        <w:t xml:space="preserve"> </w:t>
      </w:r>
      <w:r w:rsidR="004600C9">
        <w:rPr>
          <w:rFonts w:ascii="Segoe UI Semilight" w:hAnsi="Segoe UI Semilight" w:cs="Segoe UI Semilight"/>
        </w:rPr>
        <w:t>Aj napriek použitiu rovnakej metodiky</w:t>
      </w:r>
      <w:r w:rsidR="00970622">
        <w:rPr>
          <w:rFonts w:ascii="Segoe UI Semilight" w:hAnsi="Segoe UI Semilight" w:cs="Segoe UI Semilight"/>
        </w:rPr>
        <w:t xml:space="preserve"> (zverejnené sú len agregované dáta)</w:t>
      </w:r>
      <w:r w:rsidR="004600C9">
        <w:rPr>
          <w:rFonts w:ascii="Segoe UI Semilight" w:hAnsi="Segoe UI Semilight" w:cs="Segoe UI Semilight"/>
        </w:rPr>
        <w:t xml:space="preserve"> je rozdiel v zozbieraných dátach</w:t>
      </w:r>
      <w:r w:rsidR="00A0652E">
        <w:rPr>
          <w:rFonts w:ascii="Segoe UI Semilight" w:hAnsi="Segoe UI Semilight" w:cs="Segoe UI Semilight"/>
        </w:rPr>
        <w:t xml:space="preserve"> v tomto materiáli</w:t>
      </w:r>
      <w:r w:rsidR="0094604E">
        <w:rPr>
          <w:rFonts w:ascii="Segoe UI Semilight" w:hAnsi="Segoe UI Semilight" w:cs="Segoe UI Semilight"/>
        </w:rPr>
        <w:t xml:space="preserve"> a dát </w:t>
      </w:r>
      <w:proofErr w:type="spellStart"/>
      <w:r w:rsidR="0094604E">
        <w:rPr>
          <w:rFonts w:ascii="Segoe UI Semilight" w:hAnsi="Segoe UI Semilight" w:cs="Segoe UI Semilight"/>
        </w:rPr>
        <w:t>Our</w:t>
      </w:r>
      <w:proofErr w:type="spellEnd"/>
      <w:r w:rsidR="0094604E">
        <w:rPr>
          <w:rFonts w:ascii="Segoe UI Semilight" w:hAnsi="Segoe UI Semilight" w:cs="Segoe UI Semilight"/>
        </w:rPr>
        <w:t xml:space="preserve"> </w:t>
      </w:r>
      <w:proofErr w:type="spellStart"/>
      <w:r w:rsidR="0094604E">
        <w:rPr>
          <w:rFonts w:ascii="Segoe UI Semilight" w:hAnsi="Segoe UI Semilight" w:cs="Segoe UI Semilight"/>
        </w:rPr>
        <w:t>World</w:t>
      </w:r>
      <w:proofErr w:type="spellEnd"/>
      <w:r w:rsidR="0094604E">
        <w:rPr>
          <w:rFonts w:ascii="Segoe UI Semilight" w:hAnsi="Segoe UI Semilight" w:cs="Segoe UI Semilight"/>
        </w:rPr>
        <w:t xml:space="preserve"> in </w:t>
      </w:r>
      <w:proofErr w:type="spellStart"/>
      <w:r w:rsidR="0094604E">
        <w:rPr>
          <w:rFonts w:ascii="Segoe UI Semilight" w:hAnsi="Segoe UI Semilight" w:cs="Segoe UI Semilight"/>
        </w:rPr>
        <w:t>Data</w:t>
      </w:r>
      <w:proofErr w:type="spellEnd"/>
      <w:r w:rsidR="004600C9">
        <w:rPr>
          <w:rFonts w:ascii="Segoe UI Semilight" w:hAnsi="Segoe UI Semilight" w:cs="Segoe UI Semilight"/>
        </w:rPr>
        <w:t xml:space="preserve"> v roku 2020 vo výške 92 mil. eur a rozdiel podielu dotácií 0,09 % HDP. </w:t>
      </w:r>
    </w:p>
    <w:p w14:paraId="08BD0AAE" w14:textId="77777777" w:rsidR="00B322AB" w:rsidRDefault="00B322AB" w:rsidP="001313AF">
      <w:pPr>
        <w:pStyle w:val="Popis"/>
        <w:keepNext/>
        <w:spacing w:before="120" w:after="120"/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</w:pPr>
      <w:r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lastRenderedPageBreak/>
        <w:t xml:space="preserve">Graf 6: </w:t>
      </w:r>
      <w:r w:rsidRPr="00B322AB"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t>Dotácie na fosílne palivá v EÚ27 (v % HDP, 2020)</w:t>
      </w:r>
    </w:p>
    <w:tbl>
      <w:tblPr>
        <w:tblStyle w:val="Mriekatabuky"/>
        <w:tblW w:w="0" w:type="auto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E23C51" w14:paraId="191F307F" w14:textId="77777777" w:rsidTr="003E5E42">
        <w:tc>
          <w:tcPr>
            <w:tcW w:w="9072" w:type="dxa"/>
          </w:tcPr>
          <w:p w14:paraId="3D4B9EFD" w14:textId="5E7F0F6E" w:rsidR="00E23C51" w:rsidRDefault="003E5E42" w:rsidP="00B322AB">
            <w:pPr>
              <w:keepNext/>
              <w:spacing w:before="0"/>
            </w:pPr>
            <w:r>
              <w:rPr>
                <w:noProof/>
                <w:lang w:eastAsia="sk-SK"/>
              </w:rPr>
              <w:drawing>
                <wp:inline distT="0" distB="0" distL="0" distR="0" wp14:anchorId="4B7FDA8F" wp14:editId="2834CD2F">
                  <wp:extent cx="5715635" cy="1981200"/>
                  <wp:effectExtent l="0" t="0" r="0" b="0"/>
                  <wp:docPr id="8" name="Graf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</w:tbl>
    <w:p w14:paraId="4E5E6D95" w14:textId="6C463895" w:rsidR="005825CB" w:rsidRPr="005825CB" w:rsidRDefault="0037672E" w:rsidP="005825CB">
      <w:pPr>
        <w:pStyle w:val="Popis"/>
        <w:spacing w:after="120"/>
        <w:jc w:val="left"/>
        <w:rPr>
          <w:rFonts w:ascii="Segoe UI Semilight" w:hAnsi="Segoe UI Semilight" w:cs="Segoe UI Semilight"/>
          <w:i w:val="0"/>
          <w:iCs w:val="0"/>
          <w:color w:val="auto"/>
          <w:sz w:val="16"/>
          <w:szCs w:val="22"/>
        </w:rPr>
      </w:pPr>
      <w:r>
        <w:rPr>
          <w:rFonts w:ascii="Segoe UI Semilight" w:hAnsi="Segoe UI Semilight" w:cs="Segoe UI Semilight"/>
          <w:i w:val="0"/>
          <w:iCs w:val="0"/>
          <w:color w:val="auto"/>
          <w:sz w:val="16"/>
          <w:szCs w:val="22"/>
        </w:rPr>
        <w:t>Pozn.: S</w:t>
      </w:r>
      <w:r w:rsidR="005825CB" w:rsidRPr="005825CB">
        <w:rPr>
          <w:rFonts w:ascii="Segoe UI Semilight" w:hAnsi="Segoe UI Semilight" w:cs="Segoe UI Semilight"/>
          <w:i w:val="0"/>
          <w:iCs w:val="0"/>
          <w:color w:val="auto"/>
          <w:sz w:val="16"/>
          <w:szCs w:val="22"/>
        </w:rPr>
        <w:t>K_OSN – dáta zozbierané na základe metodiky OSN k predmetnému indikátoru</w:t>
      </w:r>
      <w:r w:rsidR="005825CB">
        <w:rPr>
          <w:rFonts w:ascii="Segoe UI Semilight" w:hAnsi="Segoe UI Semilight" w:cs="Segoe UI Semilight"/>
          <w:i w:val="0"/>
          <w:iCs w:val="0"/>
          <w:color w:val="auto"/>
          <w:sz w:val="16"/>
          <w:szCs w:val="22"/>
        </w:rPr>
        <w:t>.</w:t>
      </w:r>
    </w:p>
    <w:p w14:paraId="0E4B3AA3" w14:textId="03361F61" w:rsidR="00B322AB" w:rsidRDefault="00B322AB" w:rsidP="005825CB">
      <w:pPr>
        <w:pStyle w:val="Popis"/>
        <w:spacing w:after="120"/>
        <w:jc w:val="right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  <w:iCs w:val="0"/>
          <w:color w:val="auto"/>
          <w:sz w:val="22"/>
          <w:szCs w:val="22"/>
        </w:rPr>
        <w:t>Zdroj: V</w:t>
      </w:r>
      <w:r w:rsidR="00E23C51">
        <w:rPr>
          <w:rFonts w:ascii="Segoe UI Semilight" w:hAnsi="Segoe UI Semilight" w:cs="Segoe UI Semilight"/>
          <w:iCs w:val="0"/>
          <w:color w:val="auto"/>
          <w:sz w:val="22"/>
          <w:szCs w:val="22"/>
        </w:rPr>
        <w:t xml:space="preserve">ýpočty IHA na základe dát </w:t>
      </w:r>
      <w:proofErr w:type="spellStart"/>
      <w:r w:rsidR="00E23C51">
        <w:rPr>
          <w:rFonts w:ascii="Segoe UI Semilight" w:hAnsi="Segoe UI Semilight" w:cs="Segoe UI Semilight"/>
          <w:iCs w:val="0"/>
          <w:color w:val="auto"/>
          <w:sz w:val="22"/>
          <w:szCs w:val="22"/>
        </w:rPr>
        <w:t>OWiD</w:t>
      </w:r>
      <w:proofErr w:type="spellEnd"/>
      <w:r w:rsidR="00E23C51">
        <w:rPr>
          <w:rStyle w:val="Odkaznapoznmkupodiarou"/>
          <w:rFonts w:ascii="Segoe UI Semilight" w:hAnsi="Segoe UI Semilight" w:cs="Segoe UI Semilight"/>
          <w:iCs w:val="0"/>
          <w:color w:val="auto"/>
          <w:sz w:val="22"/>
          <w:szCs w:val="22"/>
        </w:rPr>
        <w:footnoteReference w:id="23"/>
      </w:r>
      <w:r w:rsidR="00E23C51">
        <w:rPr>
          <w:rFonts w:ascii="Segoe UI Semilight" w:hAnsi="Segoe UI Semilight" w:cs="Segoe UI Semilight"/>
        </w:rPr>
        <w:t xml:space="preserve"> </w:t>
      </w:r>
    </w:p>
    <w:p w14:paraId="77153BC1" w14:textId="398AD2B7" w:rsidR="00B322AB" w:rsidRDefault="00B322AB" w:rsidP="001313AF">
      <w:pPr>
        <w:spacing w:after="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V </w:t>
      </w:r>
      <w:r w:rsidR="00CA56E6">
        <w:rPr>
          <w:rFonts w:ascii="Segoe UI Semilight" w:hAnsi="Segoe UI Semilight" w:cs="Segoe UI Semilight"/>
        </w:rPr>
        <w:t xml:space="preserve">regionálnom </w:t>
      </w:r>
      <w:r>
        <w:rPr>
          <w:rFonts w:ascii="Segoe UI Semilight" w:hAnsi="Segoe UI Semilight" w:cs="Segoe UI Semilight"/>
        </w:rPr>
        <w:t>porovnaní v rámci vybraných krají</w:t>
      </w:r>
      <w:r w:rsidR="004765C9">
        <w:rPr>
          <w:rFonts w:ascii="Segoe UI Semilight" w:hAnsi="Segoe UI Semilight" w:cs="Segoe UI Semilight"/>
        </w:rPr>
        <w:t xml:space="preserve">n EÚ (Nemecko, Poľsko, </w:t>
      </w:r>
      <w:r w:rsidR="00FC6AC3">
        <w:rPr>
          <w:rFonts w:ascii="Segoe UI Semilight" w:hAnsi="Segoe UI Semilight" w:cs="Segoe UI Semilight"/>
        </w:rPr>
        <w:t>Česká republika</w:t>
      </w:r>
      <w:r w:rsidR="004765C9">
        <w:rPr>
          <w:rFonts w:ascii="Segoe UI Semilight" w:hAnsi="Segoe UI Semilight" w:cs="Segoe UI Semilight"/>
        </w:rPr>
        <w:t>) mala</w:t>
      </w:r>
      <w:r>
        <w:rPr>
          <w:rFonts w:ascii="Segoe UI Semilight" w:hAnsi="Segoe UI Semilight" w:cs="Segoe UI Semilight"/>
        </w:rPr>
        <w:t xml:space="preserve"> podiel </w:t>
      </w:r>
      <w:r w:rsidR="005B247D">
        <w:rPr>
          <w:rFonts w:ascii="Segoe UI Semilight" w:hAnsi="Segoe UI Semilight" w:cs="Segoe UI Semilight"/>
        </w:rPr>
        <w:t xml:space="preserve">dotácií na fosílne palivá </w:t>
      </w:r>
      <w:r w:rsidR="00FC6AC3">
        <w:rPr>
          <w:rFonts w:ascii="Segoe UI Semilight" w:hAnsi="Segoe UI Semilight" w:cs="Segoe UI Semilight"/>
        </w:rPr>
        <w:t>n</w:t>
      </w:r>
      <w:r w:rsidR="005B247D">
        <w:rPr>
          <w:rFonts w:ascii="Segoe UI Semilight" w:hAnsi="Segoe UI Semilight" w:cs="Segoe UI Semilight"/>
        </w:rPr>
        <w:t xml:space="preserve">a jednotku HDP </w:t>
      </w:r>
      <w:r>
        <w:rPr>
          <w:rFonts w:ascii="Segoe UI Semilight" w:hAnsi="Segoe UI Semilight" w:cs="Segoe UI Semilight"/>
        </w:rPr>
        <w:t>nižší iba Česká republika (o 0,13 p.b.</w:t>
      </w:r>
      <w:r w:rsidR="004765C9">
        <w:rPr>
          <w:rFonts w:ascii="Segoe UI Semilight" w:hAnsi="Segoe UI Semilight" w:cs="Segoe UI Semilight"/>
        </w:rPr>
        <w:t>). V porovnaní s priemerom EÚ boli</w:t>
      </w:r>
      <w:r>
        <w:rPr>
          <w:rFonts w:ascii="Segoe UI Semilight" w:hAnsi="Segoe UI Semilight" w:cs="Segoe UI Semilight"/>
        </w:rPr>
        <w:t xml:space="preserve"> dotácie na Slovensku nižšie každoročne o približne 30 až </w:t>
      </w:r>
      <w:r w:rsidR="00FC6AC3">
        <w:rPr>
          <w:rFonts w:ascii="Segoe UI Semilight" w:hAnsi="Segoe UI Semilight" w:cs="Segoe UI Semilight"/>
        </w:rPr>
        <w:t>35 </w:t>
      </w:r>
      <w:r w:rsidR="005B247D">
        <w:rPr>
          <w:rFonts w:ascii="Segoe UI Semilight" w:hAnsi="Segoe UI Semilight" w:cs="Segoe UI Semilight"/>
        </w:rPr>
        <w:t>%</w:t>
      </w:r>
      <w:r>
        <w:rPr>
          <w:rFonts w:ascii="Segoe UI Semilight" w:hAnsi="Segoe UI Semilight" w:cs="Segoe UI Semilight"/>
        </w:rPr>
        <w:t xml:space="preserve">. </w:t>
      </w:r>
    </w:p>
    <w:p w14:paraId="04A25254" w14:textId="0E8316BF" w:rsidR="00B322AB" w:rsidRDefault="00B322AB" w:rsidP="001313AF">
      <w:pPr>
        <w:pStyle w:val="Popis"/>
        <w:keepNext/>
        <w:spacing w:before="120" w:after="0"/>
        <w:jc w:val="left"/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</w:pPr>
      <w:r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t>Graf 7: Vývoj dotácií vo vybraných krajinách EÚ (v % HDP</w:t>
      </w:r>
      <w:r w:rsidR="00E23C51"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t>, 2020</w:t>
      </w:r>
      <w:r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t>)</w:t>
      </w:r>
    </w:p>
    <w:tbl>
      <w:tblPr>
        <w:tblStyle w:val="Mriekatabuky"/>
        <w:tblW w:w="0" w:type="auto"/>
        <w:tblInd w:w="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E23C51" w14:paraId="46FFD461" w14:textId="77777777" w:rsidTr="0037672E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9721FE" w14:textId="739A6B95" w:rsidR="00E23C51" w:rsidRDefault="0037672E" w:rsidP="00B322AB">
            <w:pPr>
              <w:keepNext/>
              <w:spacing w:before="0" w:line="360" w:lineRule="auto"/>
              <w:jc w:val="left"/>
            </w:pPr>
            <w:r>
              <w:rPr>
                <w:noProof/>
                <w:lang w:eastAsia="sk-SK"/>
              </w:rPr>
              <w:drawing>
                <wp:inline distT="0" distB="0" distL="0" distR="0" wp14:anchorId="061E277F" wp14:editId="6326F99D">
                  <wp:extent cx="5759450" cy="2019300"/>
                  <wp:effectExtent l="0" t="0" r="0" b="0"/>
                  <wp:docPr id="36" name="Graf 3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</w:tr>
    </w:tbl>
    <w:p w14:paraId="5C294976" w14:textId="298258F6" w:rsidR="00B322AB" w:rsidRDefault="00E23C51" w:rsidP="00E23C51">
      <w:pPr>
        <w:spacing w:before="0"/>
        <w:jc w:val="right"/>
        <w:rPr>
          <w:rFonts w:ascii="Calibri" w:eastAsia="Times New Roman" w:hAnsi="Calibri" w:cs="Calibri"/>
          <w:color w:val="0563C1"/>
          <w:u w:val="single"/>
          <w:lang w:eastAsia="sk-SK"/>
        </w:rPr>
      </w:pPr>
      <w:r>
        <w:rPr>
          <w:rFonts w:ascii="Segoe UI Semilight" w:hAnsi="Segoe UI Semilight" w:cs="Segoe UI Semilight"/>
          <w:i/>
          <w:iCs/>
        </w:rPr>
        <w:t>Zdroj:</w:t>
      </w:r>
      <w:r w:rsidR="00B322AB" w:rsidRPr="00E23C51">
        <w:rPr>
          <w:rFonts w:ascii="Segoe UI Semilight" w:hAnsi="Segoe UI Semilight" w:cs="Segoe UI Semilight"/>
          <w:i/>
          <w:iCs/>
        </w:rPr>
        <w:t xml:space="preserve"> V</w:t>
      </w:r>
      <w:r w:rsidR="00B322AB" w:rsidRPr="00E23C51">
        <w:rPr>
          <w:rFonts w:ascii="Segoe UI Semilight" w:hAnsi="Segoe UI Semilight" w:cs="Segoe UI Semilight"/>
          <w:i/>
        </w:rPr>
        <w:t xml:space="preserve">ýpočty IHA na základe dát </w:t>
      </w:r>
      <w:r w:rsidR="00B322AB" w:rsidRPr="00E23C51">
        <w:rPr>
          <w:rFonts w:ascii="Segoe UI Semilight" w:hAnsi="Segoe UI Semilight" w:cs="Segoe UI Semilight"/>
          <w:i/>
          <w:iCs/>
        </w:rPr>
        <w:t>OWID</w:t>
      </w:r>
    </w:p>
    <w:p w14:paraId="04D5A0D4" w14:textId="64A348E2" w:rsidR="001313AF" w:rsidRDefault="001313AF" w:rsidP="00B322AB">
      <w:pPr>
        <w:spacing w:before="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672FEF73" w14:textId="0421A031" w:rsidR="0037672E" w:rsidRDefault="0037672E" w:rsidP="00B322AB">
      <w:pPr>
        <w:spacing w:before="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190B31DF" w14:textId="254EBB4E" w:rsidR="0037672E" w:rsidRDefault="0037672E" w:rsidP="00B322AB">
      <w:pPr>
        <w:spacing w:before="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58745CED" w14:textId="15C3289A" w:rsidR="0037672E" w:rsidRDefault="0037672E" w:rsidP="00B322AB">
      <w:pPr>
        <w:spacing w:before="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7AF95244" w14:textId="77777777" w:rsidR="00773424" w:rsidRDefault="00773424" w:rsidP="00B322AB">
      <w:pPr>
        <w:spacing w:before="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13CF7787" w14:textId="77777777" w:rsidR="0037672E" w:rsidRDefault="0037672E" w:rsidP="00B322AB">
      <w:pPr>
        <w:spacing w:before="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57DF37FB" w14:textId="6074E2CB" w:rsidR="006040AC" w:rsidRPr="001313AF" w:rsidRDefault="004600C9" w:rsidP="001313AF">
      <w:pPr>
        <w:pStyle w:val="Nadpis1"/>
        <w:ind w:left="357" w:hanging="357"/>
      </w:pPr>
      <w:bookmarkStart w:id="14" w:name="_Toc121990627"/>
      <w:bookmarkStart w:id="15" w:name="_Toc121993850"/>
      <w:r>
        <w:lastRenderedPageBreak/>
        <w:t xml:space="preserve">Návrh metodiky </w:t>
      </w:r>
      <w:proofErr w:type="spellStart"/>
      <w:r>
        <w:t>priorizácie</w:t>
      </w:r>
      <w:proofErr w:type="spellEnd"/>
      <w:r>
        <w:t xml:space="preserve"> pre dotácie na fosílne palivá</w:t>
      </w:r>
      <w:bookmarkEnd w:id="14"/>
      <w:bookmarkEnd w:id="15"/>
    </w:p>
    <w:p w14:paraId="506FF28B" w14:textId="7DD85A2F" w:rsidR="00137514" w:rsidRDefault="00B322AB" w:rsidP="0035576B">
      <w:pPr>
        <w:spacing w:after="0"/>
        <w:rPr>
          <w:rFonts w:ascii="Segoe UI Semilight" w:hAnsi="Segoe UI Semilight" w:cs="Segoe UI Semilight"/>
        </w:rPr>
      </w:pPr>
      <w:r w:rsidRPr="00C67C5B">
        <w:rPr>
          <w:rFonts w:ascii="Segoe UI Semilight" w:hAnsi="Segoe UI Semilight" w:cs="Segoe UI Semilight"/>
          <w:b/>
        </w:rPr>
        <w:t xml:space="preserve">Slovensko nemá v súčasnosti vypracovanú </w:t>
      </w:r>
      <w:proofErr w:type="spellStart"/>
      <w:r w:rsidRPr="00C67C5B">
        <w:rPr>
          <w:rFonts w:ascii="Segoe UI Semilight" w:hAnsi="Segoe UI Semilight" w:cs="Segoe UI Semilight"/>
          <w:b/>
        </w:rPr>
        <w:t>priorizáciu</w:t>
      </w:r>
      <w:proofErr w:type="spellEnd"/>
      <w:r w:rsidRPr="00C67C5B">
        <w:rPr>
          <w:rFonts w:ascii="Segoe UI Semilight" w:hAnsi="Segoe UI Semilight" w:cs="Segoe UI Semilight"/>
          <w:b/>
        </w:rPr>
        <w:t xml:space="preserve"> pre dotácie</w:t>
      </w:r>
      <w:r w:rsidR="00EB27B1">
        <w:rPr>
          <w:rFonts w:ascii="Segoe UI Semilight" w:hAnsi="Segoe UI Semilight" w:cs="Segoe UI Semilight"/>
          <w:b/>
        </w:rPr>
        <w:t xml:space="preserve"> na fosílne palivá</w:t>
      </w:r>
      <w:r w:rsidRPr="00C67C5B">
        <w:rPr>
          <w:rFonts w:ascii="Segoe UI Semilight" w:hAnsi="Segoe UI Semilight" w:cs="Segoe UI Semilight"/>
          <w:b/>
        </w:rPr>
        <w:t xml:space="preserve"> a vychádza z nariadení vlády v otázke nutnosti poskytovania jednotlivých druhov podpory</w:t>
      </w:r>
      <w:r w:rsidRPr="00B322AB">
        <w:rPr>
          <w:rFonts w:ascii="Segoe UI Semilight" w:hAnsi="Segoe UI Semilight" w:cs="Segoe UI Semilight"/>
        </w:rPr>
        <w:t>. Pr</w:t>
      </w:r>
      <w:r w:rsidR="0080065A">
        <w:rPr>
          <w:rFonts w:ascii="Segoe UI Semilight" w:hAnsi="Segoe UI Semilight" w:cs="Segoe UI Semilight"/>
        </w:rPr>
        <w:t xml:space="preserve">i vyhodnocovaní potreby dotácií </w:t>
      </w:r>
      <w:r w:rsidRPr="00B322AB">
        <w:rPr>
          <w:rFonts w:ascii="Segoe UI Semilight" w:hAnsi="Segoe UI Semilight" w:cs="Segoe UI Semilight"/>
        </w:rPr>
        <w:t xml:space="preserve">by </w:t>
      </w:r>
      <w:r w:rsidR="00CC1D06">
        <w:rPr>
          <w:rFonts w:ascii="Segoe UI Semilight" w:hAnsi="Segoe UI Semilight" w:cs="Segoe UI Semilight"/>
        </w:rPr>
        <w:t>mali byť zvážené</w:t>
      </w:r>
      <w:r w:rsidR="00B1568A" w:rsidRPr="00B322AB">
        <w:rPr>
          <w:rFonts w:ascii="Segoe UI Semilight" w:hAnsi="Segoe UI Semilight" w:cs="Segoe UI Semilight"/>
        </w:rPr>
        <w:t xml:space="preserve"> </w:t>
      </w:r>
      <w:r w:rsidRPr="00B322AB">
        <w:rPr>
          <w:rFonts w:ascii="Segoe UI Semilight" w:hAnsi="Segoe UI Semilight" w:cs="Segoe UI Semilight"/>
        </w:rPr>
        <w:t>aktuálne priority štátu v </w:t>
      </w:r>
      <w:r w:rsidR="0080065A">
        <w:rPr>
          <w:rFonts w:ascii="Segoe UI Semilight" w:hAnsi="Segoe UI Semilight" w:cs="Segoe UI Semilight"/>
        </w:rPr>
        <w:t xml:space="preserve"> hospodárskej, sociálnej </w:t>
      </w:r>
      <w:r w:rsidR="00B1568A">
        <w:rPr>
          <w:rFonts w:ascii="Segoe UI Semilight" w:hAnsi="Segoe UI Semilight" w:cs="Segoe UI Semilight"/>
        </w:rPr>
        <w:t xml:space="preserve">a </w:t>
      </w:r>
      <w:r w:rsidRPr="00B322AB">
        <w:rPr>
          <w:rFonts w:ascii="Segoe UI Semilight" w:hAnsi="Segoe UI Semilight" w:cs="Segoe UI Semilight"/>
        </w:rPr>
        <w:t>environmentálnej</w:t>
      </w:r>
      <w:r w:rsidR="00B1568A" w:rsidRPr="00B1568A">
        <w:rPr>
          <w:rFonts w:ascii="Segoe UI Semilight" w:hAnsi="Segoe UI Semilight" w:cs="Segoe UI Semilight"/>
        </w:rPr>
        <w:t xml:space="preserve"> </w:t>
      </w:r>
      <w:r w:rsidR="00B1568A" w:rsidRPr="00B322AB">
        <w:rPr>
          <w:rFonts w:ascii="Segoe UI Semilight" w:hAnsi="Segoe UI Semilight" w:cs="Segoe UI Semilight"/>
        </w:rPr>
        <w:t>obl</w:t>
      </w:r>
      <w:r w:rsidR="00B1568A">
        <w:rPr>
          <w:rFonts w:ascii="Segoe UI Semilight" w:hAnsi="Segoe UI Semilight" w:cs="Segoe UI Semilight"/>
        </w:rPr>
        <w:t>asti</w:t>
      </w:r>
      <w:r w:rsidRPr="00B322AB">
        <w:rPr>
          <w:rFonts w:ascii="Segoe UI Semilight" w:hAnsi="Segoe UI Semilight" w:cs="Segoe UI Semilight"/>
        </w:rPr>
        <w:t xml:space="preserve">. Základným cieľom mapovania dotácií </w:t>
      </w:r>
      <w:r w:rsidR="0080065A">
        <w:rPr>
          <w:rFonts w:ascii="Segoe UI Semilight" w:hAnsi="Segoe UI Semilight" w:cs="Segoe UI Semilight"/>
        </w:rPr>
        <w:t xml:space="preserve">je </w:t>
      </w:r>
      <w:r w:rsidR="00BB5B09">
        <w:rPr>
          <w:rFonts w:ascii="Segoe UI Semilight" w:hAnsi="Segoe UI Semilight" w:cs="Segoe UI Semilight"/>
        </w:rPr>
        <w:t xml:space="preserve">odstrániť potenciálne </w:t>
      </w:r>
      <w:r w:rsidR="00BB5B09" w:rsidRPr="00B322AB">
        <w:rPr>
          <w:rFonts w:ascii="Segoe UI Semilight" w:hAnsi="Segoe UI Semilight" w:cs="Segoe UI Semilight"/>
        </w:rPr>
        <w:t>deformáci</w:t>
      </w:r>
      <w:r w:rsidR="00BB5B09">
        <w:rPr>
          <w:rFonts w:ascii="Segoe UI Semilight" w:hAnsi="Segoe UI Semilight" w:cs="Segoe UI Semilight"/>
        </w:rPr>
        <w:t>e</w:t>
      </w:r>
      <w:r w:rsidR="00BB5B09" w:rsidRPr="00B322AB">
        <w:rPr>
          <w:rFonts w:ascii="Segoe UI Semilight" w:hAnsi="Segoe UI Semilight" w:cs="Segoe UI Semilight"/>
        </w:rPr>
        <w:t xml:space="preserve"> </w:t>
      </w:r>
      <w:r w:rsidRPr="00B322AB">
        <w:rPr>
          <w:rFonts w:ascii="Segoe UI Semilight" w:hAnsi="Segoe UI Semilight" w:cs="Segoe UI Semilight"/>
        </w:rPr>
        <w:t xml:space="preserve">trhu v súlade s vnútroštátnymi záležitosťami a zároveň </w:t>
      </w:r>
      <w:r w:rsidR="00BB5B09" w:rsidRPr="00B322AB">
        <w:rPr>
          <w:rFonts w:ascii="Segoe UI Semilight" w:hAnsi="Segoe UI Semilight" w:cs="Segoe UI Semilight"/>
        </w:rPr>
        <w:t>zohľadn</w:t>
      </w:r>
      <w:r w:rsidR="00BB5B09">
        <w:rPr>
          <w:rFonts w:ascii="Segoe UI Semilight" w:hAnsi="Segoe UI Semilight" w:cs="Segoe UI Semilight"/>
        </w:rPr>
        <w:t>iť</w:t>
      </w:r>
      <w:r w:rsidR="00BB5B09" w:rsidRPr="00B322AB">
        <w:rPr>
          <w:rFonts w:ascii="Segoe UI Semilight" w:hAnsi="Segoe UI Semilight" w:cs="Segoe UI Semilight"/>
        </w:rPr>
        <w:t xml:space="preserve"> </w:t>
      </w:r>
      <w:r w:rsidRPr="00B322AB">
        <w:rPr>
          <w:rFonts w:ascii="Segoe UI Semilight" w:hAnsi="Segoe UI Semilight" w:cs="Segoe UI Semilight"/>
        </w:rPr>
        <w:t>ich vplyv na životné prostredie. Kľúčovými oblasťami je najmä optimálny energetický mix s prevahou zdrojov neprodukujúcich CO</w:t>
      </w:r>
      <w:r w:rsidRPr="00A32B8C">
        <w:rPr>
          <w:rFonts w:ascii="Segoe UI Semilight" w:hAnsi="Segoe UI Semilight" w:cs="Segoe UI Semilight"/>
          <w:vertAlign w:val="subscript"/>
        </w:rPr>
        <w:t>2</w:t>
      </w:r>
      <w:r w:rsidRPr="00B322AB">
        <w:rPr>
          <w:rFonts w:ascii="Segoe UI Semilight" w:hAnsi="Segoe UI Semilight" w:cs="Segoe UI Semilight"/>
        </w:rPr>
        <w:t xml:space="preserve"> emisie, stabilita zásobovania energiami, znižovanie spaľovania fosílnych palív </w:t>
      </w:r>
      <w:r w:rsidR="00BB5B09">
        <w:rPr>
          <w:rFonts w:ascii="Segoe UI Semilight" w:hAnsi="Segoe UI Semilight" w:cs="Segoe UI Semilight"/>
        </w:rPr>
        <w:t>a</w:t>
      </w:r>
      <w:r w:rsidR="00BB5B09" w:rsidRPr="00B322AB">
        <w:rPr>
          <w:rFonts w:ascii="Segoe UI Semilight" w:hAnsi="Segoe UI Semilight" w:cs="Segoe UI Semilight"/>
        </w:rPr>
        <w:t xml:space="preserve"> </w:t>
      </w:r>
      <w:r w:rsidRPr="00B322AB">
        <w:rPr>
          <w:rFonts w:ascii="Segoe UI Semilight" w:hAnsi="Segoe UI Semilight" w:cs="Segoe UI Semilight"/>
        </w:rPr>
        <w:t xml:space="preserve">uskladňovanie jadrového paliva. Nie menej podstatný je vplyv dotácie na štátny rozpočet a sociálnu oblasť (podpora domácností). </w:t>
      </w:r>
    </w:p>
    <w:p w14:paraId="65A03970" w14:textId="38557EB1" w:rsidR="00C0709D" w:rsidRDefault="003B38D9" w:rsidP="00CB0979">
      <w:pPr>
        <w:spacing w:after="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V prípade potreby</w:t>
      </w:r>
      <w:r w:rsidR="00EC05FE">
        <w:rPr>
          <w:rFonts w:ascii="Segoe UI Semilight" w:hAnsi="Segoe UI Semilight" w:cs="Segoe UI Semilight"/>
        </w:rPr>
        <w:t xml:space="preserve"> stano</w:t>
      </w:r>
      <w:r w:rsidR="00CC1D06">
        <w:rPr>
          <w:rFonts w:ascii="Segoe UI Semilight" w:hAnsi="Segoe UI Semilight" w:cs="Segoe UI Semilight"/>
        </w:rPr>
        <w:t xml:space="preserve">venia cieľov na národnej úrovni </w:t>
      </w:r>
      <w:r w:rsidR="00EC05FE">
        <w:rPr>
          <w:rFonts w:ascii="Segoe UI Semilight" w:hAnsi="Segoe UI Semilight" w:cs="Segoe UI Semilight"/>
        </w:rPr>
        <w:t xml:space="preserve">odporúča IHA zaviesť mechanizmus </w:t>
      </w:r>
      <w:proofErr w:type="spellStart"/>
      <w:r w:rsidR="00EC05FE">
        <w:rPr>
          <w:rFonts w:ascii="Segoe UI Semilight" w:hAnsi="Segoe UI Semilight" w:cs="Segoe UI Semilight"/>
        </w:rPr>
        <w:t>priorizáci</w:t>
      </w:r>
      <w:r w:rsidR="00BB5B09">
        <w:rPr>
          <w:rFonts w:ascii="Segoe UI Semilight" w:hAnsi="Segoe UI Semilight" w:cs="Segoe UI Semilight"/>
        </w:rPr>
        <w:t>e</w:t>
      </w:r>
      <w:proofErr w:type="spellEnd"/>
      <w:r w:rsidR="00EC05FE">
        <w:rPr>
          <w:rFonts w:ascii="Segoe UI Semilight" w:hAnsi="Segoe UI Semilight" w:cs="Segoe UI Semilight"/>
        </w:rPr>
        <w:t xml:space="preserve"> jednotlivých opatrení na základe </w:t>
      </w:r>
      <w:r w:rsidR="00B322AB" w:rsidRPr="00B322AB">
        <w:rPr>
          <w:rFonts w:ascii="Segoe UI Semilight" w:hAnsi="Segoe UI Semilight" w:cs="Segoe UI Semilight"/>
        </w:rPr>
        <w:t>bodové</w:t>
      </w:r>
      <w:r w:rsidR="00EC05FE">
        <w:rPr>
          <w:rFonts w:ascii="Segoe UI Semilight" w:hAnsi="Segoe UI Semilight" w:cs="Segoe UI Semilight"/>
        </w:rPr>
        <w:t>ho</w:t>
      </w:r>
      <w:r w:rsidR="00B322AB" w:rsidRPr="00B322AB">
        <w:rPr>
          <w:rFonts w:ascii="Segoe UI Semilight" w:hAnsi="Segoe UI Semilight" w:cs="Segoe UI Semilight"/>
        </w:rPr>
        <w:t xml:space="preserve"> </w:t>
      </w:r>
      <w:r w:rsidR="00EC05FE">
        <w:rPr>
          <w:rFonts w:ascii="Segoe UI Semilight" w:hAnsi="Segoe UI Semilight" w:cs="Segoe UI Semilight"/>
        </w:rPr>
        <w:t>hodnotenia</w:t>
      </w:r>
      <w:r w:rsidR="00B322AB" w:rsidRPr="00B322AB">
        <w:rPr>
          <w:rFonts w:ascii="Segoe UI Semilight" w:hAnsi="Segoe UI Semilight" w:cs="Segoe UI Semilight"/>
        </w:rPr>
        <w:t xml:space="preserve">, pričom vyšší počet bodov </w:t>
      </w:r>
      <w:r w:rsidR="00EC05FE">
        <w:rPr>
          <w:rFonts w:ascii="Segoe UI Semilight" w:hAnsi="Segoe UI Semilight" w:cs="Segoe UI Semilight"/>
        </w:rPr>
        <w:t xml:space="preserve">by </w:t>
      </w:r>
      <w:r w:rsidR="00B322AB" w:rsidRPr="00B322AB">
        <w:rPr>
          <w:rFonts w:ascii="Segoe UI Semilight" w:hAnsi="Segoe UI Semilight" w:cs="Segoe UI Semilight"/>
        </w:rPr>
        <w:t>znamenal vyššiu prioritu v pokračovaní poskytovania</w:t>
      </w:r>
      <w:r w:rsidR="00C0709D">
        <w:rPr>
          <w:rFonts w:ascii="Segoe UI Semilight" w:hAnsi="Segoe UI Semilight" w:cs="Segoe UI Semilight"/>
        </w:rPr>
        <w:t xml:space="preserve"> podpory.</w:t>
      </w:r>
    </w:p>
    <w:p w14:paraId="6F44686D" w14:textId="0CDFAC00" w:rsidR="00374F0B" w:rsidRDefault="004C5117" w:rsidP="00CB0979">
      <w:pPr>
        <w:spacing w:after="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V rámci navrhovanej metodiky sú hodnotené nasledovné faktory</w:t>
      </w:r>
      <w:r w:rsidR="00C0709D">
        <w:rPr>
          <w:rFonts w:ascii="Segoe UI Semilight" w:hAnsi="Segoe UI Semilight" w:cs="Segoe UI Semilight"/>
        </w:rPr>
        <w:t>:</w:t>
      </w:r>
    </w:p>
    <w:p w14:paraId="3C8F4FB7" w14:textId="401E231F" w:rsidR="00374F0B" w:rsidRPr="00374F0B" w:rsidRDefault="00C14EBC" w:rsidP="0035576B">
      <w:pPr>
        <w:pStyle w:val="Odsekzoznamu"/>
        <w:numPr>
          <w:ilvl w:val="0"/>
          <w:numId w:val="35"/>
        </w:numPr>
        <w:spacing w:after="0"/>
        <w:ind w:left="714" w:hanging="357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  <w:i/>
        </w:rPr>
        <w:t xml:space="preserve">povinnosť trvania - </w:t>
      </w:r>
      <w:r w:rsidR="00374F0B" w:rsidRPr="00C15848">
        <w:rPr>
          <w:rFonts w:ascii="Segoe UI Semilight" w:hAnsi="Segoe UI Semilight" w:cs="Segoe UI Semilight"/>
          <w:i/>
        </w:rPr>
        <w:t>obligatórnosť opatrenia</w:t>
      </w:r>
      <w:r w:rsidR="003C5625">
        <w:rPr>
          <w:rFonts w:ascii="Segoe UI Semilight" w:hAnsi="Segoe UI Semilight" w:cs="Segoe UI Semilight"/>
          <w:i/>
        </w:rPr>
        <w:t xml:space="preserve"> a závažné hospodárske škody</w:t>
      </w:r>
      <w:r w:rsidR="00BB5B09">
        <w:rPr>
          <w:rFonts w:ascii="Segoe UI Semilight" w:hAnsi="Segoe UI Semilight" w:cs="Segoe UI Semilight"/>
          <w:i/>
        </w:rPr>
        <w:t xml:space="preserve"> </w:t>
      </w:r>
      <w:r w:rsidR="00BB5B09">
        <w:rPr>
          <w:rFonts w:ascii="Segoe UI Semilight" w:hAnsi="Segoe UI Semilight" w:cs="Segoe UI Semilight"/>
        </w:rPr>
        <w:t>–</w:t>
      </w:r>
      <w:r w:rsidR="00374F0B">
        <w:rPr>
          <w:rFonts w:ascii="Segoe UI Semilight" w:hAnsi="Segoe UI Semilight" w:cs="Segoe UI Semilight"/>
        </w:rPr>
        <w:t xml:space="preserve"> opatrenia </w:t>
      </w:r>
      <w:r w:rsidR="00374F0B" w:rsidRPr="00374F0B">
        <w:rPr>
          <w:rFonts w:ascii="Segoe UI Semilight" w:hAnsi="Segoe UI Semilight" w:cs="Segoe UI Semilight"/>
        </w:rPr>
        <w:t>bez možnosti zrušenia (termínované alebo ratifikované z legislatívy EÚ)</w:t>
      </w:r>
      <w:r w:rsidR="00374F0B">
        <w:rPr>
          <w:rFonts w:ascii="Segoe UI Semilight" w:hAnsi="Segoe UI Semilight" w:cs="Segoe UI Semilight"/>
        </w:rPr>
        <w:t xml:space="preserve"> získavajú automaticky najvyššiu prioritu</w:t>
      </w:r>
      <w:r w:rsidR="00224E28">
        <w:rPr>
          <w:rFonts w:ascii="Segoe UI Semilight" w:hAnsi="Segoe UI Semilight" w:cs="Segoe UI Semilight"/>
        </w:rPr>
        <w:t xml:space="preserve"> (</w:t>
      </w:r>
      <w:r w:rsidR="00AD5651">
        <w:rPr>
          <w:rFonts w:ascii="Segoe UI Semilight" w:hAnsi="Segoe UI Semilight" w:cs="Segoe UI Semilight"/>
        </w:rPr>
        <w:t>5 bodov</w:t>
      </w:r>
      <w:r w:rsidR="00ED608E">
        <w:rPr>
          <w:rFonts w:ascii="Segoe UI Semilight" w:hAnsi="Segoe UI Semilight" w:cs="Segoe UI Semilight"/>
        </w:rPr>
        <w:t>, inak 0</w:t>
      </w:r>
      <w:r w:rsidR="00224E28">
        <w:rPr>
          <w:rFonts w:ascii="Segoe UI Semilight" w:hAnsi="Segoe UI Semilight" w:cs="Segoe UI Semilight"/>
        </w:rPr>
        <w:t>)</w:t>
      </w:r>
      <w:r w:rsidR="00DA0C5E">
        <w:rPr>
          <w:rFonts w:ascii="Segoe UI Semilight" w:hAnsi="Segoe UI Semilight" w:cs="Segoe UI Semilight"/>
        </w:rPr>
        <w:t xml:space="preserve">. Najvyššiu prioritu získavajú taktiež </w:t>
      </w:r>
      <w:r w:rsidR="00F12A90">
        <w:rPr>
          <w:rFonts w:ascii="Segoe UI Semilight" w:hAnsi="Segoe UI Semilight" w:cs="Segoe UI Semilight"/>
        </w:rPr>
        <w:t>opatrenia smerujúce na zmier</w:t>
      </w:r>
      <w:r w:rsidR="0089173F">
        <w:rPr>
          <w:rFonts w:ascii="Segoe UI Semilight" w:hAnsi="Segoe UI Semilight" w:cs="Segoe UI Semilight"/>
        </w:rPr>
        <w:t>n</w:t>
      </w:r>
      <w:r w:rsidR="00F12A90">
        <w:rPr>
          <w:rFonts w:ascii="Segoe UI Semilight" w:hAnsi="Segoe UI Semilight" w:cs="Segoe UI Semilight"/>
        </w:rPr>
        <w:t>enie závažných hospo</w:t>
      </w:r>
      <w:r>
        <w:rPr>
          <w:rFonts w:ascii="Segoe UI Semilight" w:hAnsi="Segoe UI Semilight" w:cs="Segoe UI Semilight"/>
        </w:rPr>
        <w:t>dárskych škôd (5 bodov, inak 0);</w:t>
      </w:r>
    </w:p>
    <w:p w14:paraId="717425B6" w14:textId="6D20B6A2" w:rsidR="00374F0B" w:rsidRDefault="00374F0B" w:rsidP="0035576B">
      <w:pPr>
        <w:pStyle w:val="Odsekzoznamu"/>
        <w:numPr>
          <w:ilvl w:val="0"/>
          <w:numId w:val="35"/>
        </w:numPr>
        <w:spacing w:after="0"/>
        <w:ind w:left="714" w:hanging="357"/>
        <w:rPr>
          <w:rFonts w:ascii="Segoe UI Semilight" w:hAnsi="Segoe UI Semilight" w:cs="Segoe UI Semilight"/>
        </w:rPr>
      </w:pPr>
      <w:r w:rsidRPr="00C15848">
        <w:rPr>
          <w:rFonts w:ascii="Segoe UI Semilight" w:hAnsi="Segoe UI Semilight" w:cs="Segoe UI Semilight"/>
          <w:i/>
        </w:rPr>
        <w:t>vplyv na životné prostredie</w:t>
      </w:r>
      <w:r w:rsidR="00DA0C5E">
        <w:rPr>
          <w:rFonts w:ascii="Segoe UI Semilight" w:hAnsi="Segoe UI Semilight" w:cs="Segoe UI Semilight"/>
          <w:i/>
        </w:rPr>
        <w:t xml:space="preserve"> </w:t>
      </w:r>
      <w:r w:rsidR="00290B12">
        <w:rPr>
          <w:rFonts w:ascii="Segoe UI Semilight" w:hAnsi="Segoe UI Semilight" w:cs="Segoe UI Semilight"/>
          <w:i/>
        </w:rPr>
        <w:t>–</w:t>
      </w:r>
      <w:r w:rsidR="00DA0C5E">
        <w:rPr>
          <w:rFonts w:ascii="Segoe UI Semilight" w:hAnsi="Segoe UI Semilight" w:cs="Segoe UI Semilight"/>
          <w:i/>
        </w:rPr>
        <w:t xml:space="preserve"> </w:t>
      </w:r>
      <w:r w:rsidR="00290B12">
        <w:rPr>
          <w:rFonts w:ascii="Segoe UI Semilight" w:hAnsi="Segoe UI Semilight" w:cs="Segoe UI Semilight"/>
          <w:i/>
        </w:rPr>
        <w:t>emisie skleníkových plynov</w:t>
      </w:r>
      <w:r w:rsidR="00BB5B09">
        <w:rPr>
          <w:rFonts w:ascii="Segoe UI Semilight" w:hAnsi="Segoe UI Semilight" w:cs="Segoe UI Semilight"/>
        </w:rPr>
        <w:t>–</w:t>
      </w:r>
      <w:r w:rsidR="00DA0C5E">
        <w:rPr>
          <w:rFonts w:ascii="Segoe UI Semilight" w:hAnsi="Segoe UI Semilight" w:cs="Segoe UI Semilight"/>
        </w:rPr>
        <w:t xml:space="preserve"> opatreni</w:t>
      </w:r>
      <w:r w:rsidR="0035576B">
        <w:rPr>
          <w:rFonts w:ascii="Segoe UI Semilight" w:hAnsi="Segoe UI Semilight" w:cs="Segoe UI Semilight"/>
        </w:rPr>
        <w:t>a v oblasti elektrickej energie</w:t>
      </w:r>
      <w:r w:rsidR="00DA0C5E">
        <w:rPr>
          <w:rFonts w:ascii="Segoe UI Semilight" w:hAnsi="Segoe UI Semilight" w:cs="Segoe UI Semilight"/>
        </w:rPr>
        <w:t xml:space="preserve"> majú vyššiu prioritu (2 body) z dôvodu možnosti nahradiť fosílne palivá nefosílnymi; opatrenia smerujúce priamo na fosílne palivá sa delia na dotácie na zemný plyn (1 bod – z dôvodu </w:t>
      </w:r>
      <w:r w:rsidR="00C14EBC">
        <w:rPr>
          <w:rFonts w:ascii="Segoe UI Semilight" w:hAnsi="Segoe UI Semilight" w:cs="Segoe UI Semilight"/>
        </w:rPr>
        <w:t xml:space="preserve">nižších </w:t>
      </w:r>
      <w:r w:rsidR="00DA0C5E">
        <w:rPr>
          <w:rFonts w:ascii="Segoe UI Semilight" w:hAnsi="Segoe UI Semilight" w:cs="Segoe UI Semilight"/>
        </w:rPr>
        <w:t xml:space="preserve">emisií skleníkových plynov) a na dotácie na uhlie (0 bodov); </w:t>
      </w:r>
    </w:p>
    <w:p w14:paraId="4C020B6C" w14:textId="43FCC56A" w:rsidR="00DA0C5E" w:rsidRPr="00C14EBC" w:rsidRDefault="00C14EBC" w:rsidP="0035576B">
      <w:pPr>
        <w:pStyle w:val="Odsekzoznamu"/>
        <w:numPr>
          <w:ilvl w:val="0"/>
          <w:numId w:val="35"/>
        </w:numPr>
        <w:spacing w:after="0"/>
        <w:ind w:left="714" w:hanging="357"/>
        <w:rPr>
          <w:rFonts w:ascii="Segoe UI Semilight" w:hAnsi="Segoe UI Semilight" w:cs="Segoe UI Semilight"/>
        </w:rPr>
      </w:pPr>
      <w:r w:rsidRPr="00C14EBC">
        <w:rPr>
          <w:rFonts w:ascii="Segoe UI Semilight" w:hAnsi="Segoe UI Semilight" w:cs="Segoe UI Semilight"/>
          <w:i/>
        </w:rPr>
        <w:t xml:space="preserve">vplyv na životné prostredie – </w:t>
      </w:r>
      <w:r w:rsidR="003647DE">
        <w:rPr>
          <w:rFonts w:ascii="Segoe UI Semilight" w:hAnsi="Segoe UI Semilight" w:cs="Segoe UI Semilight"/>
          <w:i/>
        </w:rPr>
        <w:t>úspora</w:t>
      </w:r>
      <w:r w:rsidRPr="00C14EBC">
        <w:rPr>
          <w:rFonts w:ascii="Segoe UI Semilight" w:hAnsi="Segoe UI Semilight" w:cs="Segoe UI Semilight"/>
          <w:i/>
        </w:rPr>
        <w:t xml:space="preserve"> primárnych zdrojov energie</w:t>
      </w:r>
      <w:r>
        <w:rPr>
          <w:rFonts w:ascii="Segoe UI Semilight" w:hAnsi="Segoe UI Semilight" w:cs="Segoe UI Semilight"/>
        </w:rPr>
        <w:t xml:space="preserve"> – dotácie smerujúce na technológie lepšie využívajúce primárne zdroje energie pri zásobovaní energiou a zároveň tým znižujú emisie skleníkových vplyv majú vyššiu prioritu (1 bod, inak 0);</w:t>
      </w:r>
    </w:p>
    <w:p w14:paraId="4C986CB7" w14:textId="6CF863A7" w:rsidR="00374F0B" w:rsidRDefault="00374F0B" w:rsidP="0035576B">
      <w:pPr>
        <w:pStyle w:val="Odsekzoznamu"/>
        <w:numPr>
          <w:ilvl w:val="0"/>
          <w:numId w:val="35"/>
        </w:numPr>
        <w:spacing w:after="0"/>
        <w:ind w:left="714" w:hanging="357"/>
        <w:rPr>
          <w:rFonts w:ascii="Segoe UI Semilight" w:hAnsi="Segoe UI Semilight" w:cs="Segoe UI Semilight"/>
        </w:rPr>
      </w:pPr>
      <w:r w:rsidRPr="00C15848">
        <w:rPr>
          <w:rFonts w:ascii="Segoe UI Semilight" w:hAnsi="Segoe UI Semilight" w:cs="Segoe UI Semilight"/>
          <w:i/>
        </w:rPr>
        <w:t>krížová dotácia</w:t>
      </w:r>
      <w:r w:rsidR="00BB5B09">
        <w:rPr>
          <w:rFonts w:ascii="Segoe UI Semilight" w:hAnsi="Segoe UI Semilight" w:cs="Segoe UI Semilight"/>
          <w:i/>
        </w:rPr>
        <w:t xml:space="preserve"> </w:t>
      </w:r>
      <w:r w:rsidR="00BB5B09">
        <w:rPr>
          <w:rFonts w:ascii="Segoe UI Semilight" w:hAnsi="Segoe UI Semilight" w:cs="Segoe UI Semilight"/>
        </w:rPr>
        <w:t>–</w:t>
      </w:r>
      <w:r w:rsidR="00232D96">
        <w:rPr>
          <w:rFonts w:ascii="Segoe UI Semilight" w:hAnsi="Segoe UI Semilight" w:cs="Segoe UI Semilight"/>
        </w:rPr>
        <w:t xml:space="preserve"> opatrenia</w:t>
      </w:r>
      <w:r w:rsidR="00BB5B09">
        <w:rPr>
          <w:rFonts w:ascii="Segoe UI Semilight" w:hAnsi="Segoe UI Semilight" w:cs="Segoe UI Semilight"/>
        </w:rPr>
        <w:t xml:space="preserve"> týkajúce sa</w:t>
      </w:r>
      <w:r w:rsidR="00316981">
        <w:rPr>
          <w:rFonts w:ascii="Segoe UI Semilight" w:hAnsi="Segoe UI Semilight" w:cs="Segoe UI Semilight"/>
        </w:rPr>
        <w:t> </w:t>
      </w:r>
      <w:r w:rsidR="00BB5B09">
        <w:rPr>
          <w:rFonts w:ascii="Segoe UI Semilight" w:hAnsi="Segoe UI Semilight" w:cs="Segoe UI Semilight"/>
        </w:rPr>
        <w:t>krížových dotácií</w:t>
      </w:r>
      <w:r w:rsidR="008D3E02">
        <w:rPr>
          <w:rFonts w:ascii="Segoe UI Semilight" w:hAnsi="Segoe UI Semilight" w:cs="Segoe UI Semilight"/>
        </w:rPr>
        <w:t xml:space="preserve">, </w:t>
      </w:r>
      <w:r w:rsidR="00A11402">
        <w:rPr>
          <w:rFonts w:ascii="Segoe UI Semilight" w:hAnsi="Segoe UI Semilight" w:cs="Segoe UI Semilight"/>
        </w:rPr>
        <w:t>ktoré znižovaním sadzby zvyšujú sadzbu iným subjektom</w:t>
      </w:r>
      <w:r w:rsidR="008D3E02">
        <w:rPr>
          <w:rFonts w:ascii="Segoe UI Semilight" w:hAnsi="Segoe UI Semilight" w:cs="Segoe UI Semilight"/>
        </w:rPr>
        <w:t>, v dôsledku čoho dochádza ku kriveniu trhu</w:t>
      </w:r>
      <w:r w:rsidR="00653BD0">
        <w:rPr>
          <w:rFonts w:ascii="Segoe UI Semilight" w:hAnsi="Segoe UI Semilight" w:cs="Segoe UI Semilight"/>
        </w:rPr>
        <w:t>,</w:t>
      </w:r>
      <w:r w:rsidR="00A0652E">
        <w:rPr>
          <w:rFonts w:ascii="Segoe UI Semilight" w:hAnsi="Segoe UI Semilight" w:cs="Segoe UI Semilight"/>
        </w:rPr>
        <w:t xml:space="preserve"> </w:t>
      </w:r>
      <w:r w:rsidR="00232D96">
        <w:rPr>
          <w:rFonts w:ascii="Segoe UI Semilight" w:hAnsi="Segoe UI Semilight" w:cs="Segoe UI Semilight"/>
        </w:rPr>
        <w:t>získavajú zápornú prioritu</w:t>
      </w:r>
      <w:r w:rsidR="00ED608E">
        <w:rPr>
          <w:rFonts w:ascii="Segoe UI Semilight" w:hAnsi="Segoe UI Semilight" w:cs="Segoe UI Semilight"/>
        </w:rPr>
        <w:t xml:space="preserve"> (-1 bod, inak 0)</w:t>
      </w:r>
      <w:r w:rsidR="00DA0C5E">
        <w:rPr>
          <w:rFonts w:ascii="Segoe UI Semilight" w:hAnsi="Segoe UI Semilight" w:cs="Segoe UI Semilight"/>
        </w:rPr>
        <w:t>;</w:t>
      </w:r>
    </w:p>
    <w:p w14:paraId="5625C2F6" w14:textId="65D24CEE" w:rsidR="00DA0C5E" w:rsidRPr="00DA0C5E" w:rsidRDefault="00DA0C5E" w:rsidP="0035576B">
      <w:pPr>
        <w:pStyle w:val="Odsekzoznamu"/>
        <w:numPr>
          <w:ilvl w:val="0"/>
          <w:numId w:val="35"/>
        </w:numPr>
        <w:spacing w:after="0"/>
        <w:ind w:left="714" w:hanging="357"/>
        <w:rPr>
          <w:rFonts w:ascii="Segoe UI Semilight" w:hAnsi="Segoe UI Semilight" w:cs="Segoe UI Semilight"/>
        </w:rPr>
      </w:pPr>
      <w:r w:rsidRPr="00C15848">
        <w:rPr>
          <w:rFonts w:ascii="Segoe UI Semilight" w:hAnsi="Segoe UI Semilight" w:cs="Segoe UI Semilight"/>
          <w:i/>
        </w:rPr>
        <w:t>sociálne vplyvy</w:t>
      </w:r>
      <w:r>
        <w:rPr>
          <w:rFonts w:ascii="Segoe UI Semilight" w:hAnsi="Segoe UI Semilight" w:cs="Segoe UI Semilight"/>
          <w:i/>
        </w:rPr>
        <w:t xml:space="preserve"> </w:t>
      </w:r>
      <w:r>
        <w:rPr>
          <w:rFonts w:ascii="Segoe UI Semilight" w:hAnsi="Segoe UI Semilight" w:cs="Segoe UI Semilight"/>
        </w:rPr>
        <w:t>– opatrenia smerujúce spotrebiteľom v domácnostiach a zraniteľným odberateľom získavajú vyššiu prioritu (1 bod, inak 0</w:t>
      </w:r>
      <w:bookmarkStart w:id="16" w:name="_GoBack"/>
      <w:bookmarkEnd w:id="16"/>
      <w:r>
        <w:rPr>
          <w:rFonts w:ascii="Segoe UI Semilight" w:hAnsi="Segoe UI Semilight" w:cs="Segoe UI Semilight"/>
        </w:rPr>
        <w:t>);</w:t>
      </w:r>
    </w:p>
    <w:p w14:paraId="3A18867D" w14:textId="54D1AC3E" w:rsidR="00DA0C5E" w:rsidRPr="00DA0C5E" w:rsidRDefault="00DA0C5E" w:rsidP="0035576B">
      <w:pPr>
        <w:pStyle w:val="Odsekzoznamu"/>
        <w:numPr>
          <w:ilvl w:val="0"/>
          <w:numId w:val="35"/>
        </w:numPr>
        <w:spacing w:after="0"/>
        <w:ind w:left="714" w:hanging="357"/>
        <w:rPr>
          <w:rFonts w:ascii="Segoe UI Semilight" w:hAnsi="Segoe UI Semilight" w:cs="Segoe UI Semilight"/>
        </w:rPr>
      </w:pPr>
      <w:r w:rsidRPr="00C15848">
        <w:rPr>
          <w:rFonts w:ascii="Segoe UI Semilight" w:hAnsi="Segoe UI Semilight" w:cs="Segoe UI Semilight"/>
          <w:i/>
        </w:rPr>
        <w:t>vplyv na štátny rozpočet</w:t>
      </w:r>
      <w:r>
        <w:rPr>
          <w:rFonts w:ascii="Segoe UI Semilight" w:hAnsi="Segoe UI Semilight" w:cs="Segoe UI Semilight"/>
          <w:i/>
        </w:rPr>
        <w:t xml:space="preserve"> </w:t>
      </w:r>
      <w:r>
        <w:rPr>
          <w:rFonts w:ascii="Segoe UI Semilight" w:hAnsi="Segoe UI Semilight" w:cs="Segoe UI Semilight"/>
        </w:rPr>
        <w:t>– opatrenia bez vplyvu na rozpočet získavajú vyššiu prioritu (1 bod, inak 0).</w:t>
      </w:r>
    </w:p>
    <w:p w14:paraId="22E79C39" w14:textId="0C2D9F15" w:rsidR="00232D96" w:rsidRDefault="00331692" w:rsidP="001313AF">
      <w:pPr>
        <w:spacing w:after="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V prípade použitia tejto metodiky</w:t>
      </w:r>
      <w:r w:rsidR="00EC05FE" w:rsidRPr="00374F0B">
        <w:rPr>
          <w:rFonts w:ascii="Segoe UI Semilight" w:hAnsi="Segoe UI Semilight" w:cs="Segoe UI Semilight"/>
        </w:rPr>
        <w:t xml:space="preserve"> by n</w:t>
      </w:r>
      <w:r w:rsidR="00C0709D">
        <w:rPr>
          <w:rFonts w:ascii="Segoe UI Semilight" w:hAnsi="Segoe UI Semilight" w:cs="Segoe UI Semilight"/>
        </w:rPr>
        <w:t>ajmenší počet bodov a zároveň najnižšiu prioritu dosiahli</w:t>
      </w:r>
      <w:r w:rsidR="00232D96">
        <w:rPr>
          <w:rFonts w:ascii="Segoe UI Semilight" w:hAnsi="Segoe UI Semilight" w:cs="Segoe UI Semilight"/>
        </w:rPr>
        <w:t>:</w:t>
      </w:r>
    </w:p>
    <w:p w14:paraId="1CA22A77" w14:textId="1C8107F9" w:rsidR="00232D96" w:rsidRPr="00A30C28" w:rsidRDefault="00B322AB" w:rsidP="00A30C28">
      <w:pPr>
        <w:pStyle w:val="Odsekzoznamu"/>
        <w:numPr>
          <w:ilvl w:val="0"/>
          <w:numId w:val="36"/>
        </w:numPr>
        <w:spacing w:after="0"/>
        <w:ind w:left="714" w:hanging="357"/>
        <w:rPr>
          <w:rFonts w:ascii="Segoe UI Semilight" w:hAnsi="Segoe UI Semilight" w:cs="Segoe UI Semilight"/>
        </w:rPr>
      </w:pPr>
      <w:r w:rsidRPr="00232D96">
        <w:rPr>
          <w:rFonts w:ascii="Segoe UI Semilight" w:hAnsi="Segoe UI Semilight" w:cs="Segoe UI Semilight"/>
        </w:rPr>
        <w:t>individuálne sadzby pre selektívne je</w:t>
      </w:r>
      <w:r w:rsidR="00232D96" w:rsidRPr="00232D96">
        <w:rPr>
          <w:rFonts w:ascii="Segoe UI Semilight" w:hAnsi="Segoe UI Semilight" w:cs="Segoe UI Semilight"/>
        </w:rPr>
        <w:t>dnotky</w:t>
      </w:r>
      <w:r w:rsidR="00A30C28">
        <w:rPr>
          <w:rFonts w:ascii="Segoe UI Semilight" w:hAnsi="Segoe UI Semilight" w:cs="Segoe UI Semilight"/>
        </w:rPr>
        <w:t xml:space="preserve"> pri vydobytých nerastoch;</w:t>
      </w:r>
    </w:p>
    <w:p w14:paraId="2BBCA7F3" w14:textId="06D4DB14" w:rsidR="00C0709D" w:rsidRDefault="00B322AB" w:rsidP="001313AF">
      <w:pPr>
        <w:pStyle w:val="Odsekzoznamu"/>
        <w:numPr>
          <w:ilvl w:val="0"/>
          <w:numId w:val="36"/>
        </w:numPr>
        <w:spacing w:after="0"/>
        <w:ind w:left="714" w:hanging="357"/>
        <w:rPr>
          <w:rFonts w:ascii="Segoe UI Semilight" w:hAnsi="Segoe UI Semilight" w:cs="Segoe UI Semilight"/>
        </w:rPr>
      </w:pPr>
      <w:r w:rsidRPr="00232D96">
        <w:rPr>
          <w:rFonts w:ascii="Segoe UI Semilight" w:hAnsi="Segoe UI Semilight" w:cs="Segoe UI Semilight"/>
        </w:rPr>
        <w:t>daňové výdavky na</w:t>
      </w:r>
      <w:r w:rsidR="004F7ABE">
        <w:rPr>
          <w:rFonts w:ascii="Segoe UI Semilight" w:hAnsi="Segoe UI Semilight" w:cs="Segoe UI Semilight"/>
        </w:rPr>
        <w:t xml:space="preserve"> uhlie v domácnosti, doprave a výrobe elektriny a na zemný plyn na dopravu.</w:t>
      </w:r>
    </w:p>
    <w:p w14:paraId="1864E071" w14:textId="31895969" w:rsidR="00A30C28" w:rsidRDefault="00A30C28" w:rsidP="00A30C28">
      <w:pPr>
        <w:spacing w:after="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Najvyšší počet bodov a zároveň najvyššiu prioritu dosiahli:</w:t>
      </w:r>
    </w:p>
    <w:p w14:paraId="7D37F1F3" w14:textId="3AD99BD1" w:rsidR="00A30C28" w:rsidRDefault="00A30C28" w:rsidP="00A30C28">
      <w:pPr>
        <w:pStyle w:val="Odsekzoznamu"/>
        <w:numPr>
          <w:ilvl w:val="0"/>
          <w:numId w:val="37"/>
        </w:numPr>
        <w:spacing w:after="0"/>
        <w:ind w:left="714" w:hanging="357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regulované ceny;</w:t>
      </w:r>
    </w:p>
    <w:p w14:paraId="493B83FB" w14:textId="6B7CACF1" w:rsidR="00A30C28" w:rsidRDefault="00A30C28" w:rsidP="00A30C28">
      <w:pPr>
        <w:pStyle w:val="Odsekzoznamu"/>
        <w:numPr>
          <w:ilvl w:val="0"/>
          <w:numId w:val="37"/>
        </w:numPr>
        <w:spacing w:after="0"/>
        <w:ind w:left="714" w:hanging="357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dotácie </w:t>
      </w:r>
      <w:r w:rsidR="00BB5B09">
        <w:rPr>
          <w:rFonts w:ascii="Segoe UI Semilight" w:hAnsi="Segoe UI Semilight" w:cs="Segoe UI Semilight"/>
        </w:rPr>
        <w:t xml:space="preserve">na </w:t>
      </w:r>
      <w:r>
        <w:rPr>
          <w:rFonts w:ascii="Segoe UI Semilight" w:hAnsi="Segoe UI Semilight" w:cs="Segoe UI Semilight"/>
        </w:rPr>
        <w:t>výrobu elektrickej energie z domáceho uhlia (tzv. ENO);</w:t>
      </w:r>
    </w:p>
    <w:p w14:paraId="38EE5229" w14:textId="3D6FCFD1" w:rsidR="00A30C28" w:rsidRDefault="00A30C28" w:rsidP="00A30C28">
      <w:pPr>
        <w:pStyle w:val="Odsekzoznamu"/>
        <w:numPr>
          <w:ilvl w:val="0"/>
          <w:numId w:val="37"/>
        </w:numPr>
        <w:spacing w:after="0"/>
        <w:ind w:left="714" w:hanging="357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obligatórne zavedené oslobodenia od spotrebnej dane.</w:t>
      </w:r>
    </w:p>
    <w:p w14:paraId="7B460930" w14:textId="5B48A772" w:rsidR="00344945" w:rsidRDefault="00B322AB" w:rsidP="00A30C28">
      <w:pPr>
        <w:spacing w:after="0"/>
        <w:rPr>
          <w:rFonts w:ascii="Segoe UI Semilight" w:hAnsi="Segoe UI Semilight" w:cs="Segoe UI Semilight"/>
        </w:rPr>
      </w:pPr>
      <w:r w:rsidRPr="00CD7955">
        <w:rPr>
          <w:rFonts w:ascii="Segoe UI Semilight" w:hAnsi="Segoe UI Semilight" w:cs="Segoe UI Semilight"/>
        </w:rPr>
        <w:t xml:space="preserve">Podrobné výsledky </w:t>
      </w:r>
      <w:proofErr w:type="spellStart"/>
      <w:r w:rsidRPr="00CD7955">
        <w:rPr>
          <w:rFonts w:ascii="Segoe UI Semilight" w:hAnsi="Segoe UI Semilight" w:cs="Segoe UI Semilight"/>
        </w:rPr>
        <w:t>priorizácie</w:t>
      </w:r>
      <w:proofErr w:type="spellEnd"/>
      <w:r w:rsidR="006F1576">
        <w:rPr>
          <w:rFonts w:ascii="Segoe UI Semilight" w:hAnsi="Segoe UI Semilight" w:cs="Segoe UI Semilight"/>
        </w:rPr>
        <w:t xml:space="preserve"> podľa navrhovane</w:t>
      </w:r>
      <w:r w:rsidR="00BB5B09">
        <w:rPr>
          <w:rFonts w:ascii="Segoe UI Semilight" w:hAnsi="Segoe UI Semilight" w:cs="Segoe UI Semilight"/>
        </w:rPr>
        <w:t>j</w:t>
      </w:r>
      <w:r w:rsidR="006F1576">
        <w:rPr>
          <w:rFonts w:ascii="Segoe UI Semilight" w:hAnsi="Segoe UI Semilight" w:cs="Segoe UI Semilight"/>
        </w:rPr>
        <w:t xml:space="preserve"> metodiky</w:t>
      </w:r>
      <w:r w:rsidR="002B37BA">
        <w:rPr>
          <w:rFonts w:ascii="Segoe UI Semilight" w:hAnsi="Segoe UI Semilight" w:cs="Segoe UI Semilight"/>
        </w:rPr>
        <w:t xml:space="preserve"> zo</w:t>
      </w:r>
      <w:r w:rsidR="00CC1D06">
        <w:rPr>
          <w:rFonts w:ascii="Segoe UI Semilight" w:hAnsi="Segoe UI Semilight" w:cs="Segoe UI Semilight"/>
        </w:rPr>
        <w:t>brazuje príloha č.3 na strane 17</w:t>
      </w:r>
      <w:r w:rsidR="00B13A45">
        <w:rPr>
          <w:rFonts w:ascii="Segoe UI Semilight" w:hAnsi="Segoe UI Semilight" w:cs="Segoe UI Semilight"/>
        </w:rPr>
        <w:t>.</w:t>
      </w:r>
    </w:p>
    <w:p w14:paraId="7513A479" w14:textId="77777777" w:rsidR="00344945" w:rsidRPr="00CD7955" w:rsidRDefault="00344945" w:rsidP="00A30C28">
      <w:pPr>
        <w:spacing w:after="0"/>
        <w:rPr>
          <w:rFonts w:ascii="Segoe UI Semilight" w:hAnsi="Segoe UI Semilight" w:cs="Segoe UI Semilight"/>
        </w:rPr>
      </w:pPr>
    </w:p>
    <w:p w14:paraId="48BE95C4" w14:textId="34CB4699" w:rsidR="00877672" w:rsidRDefault="00877672" w:rsidP="00755B80">
      <w:pPr>
        <w:spacing w:after="0"/>
        <w:rPr>
          <w:rFonts w:ascii="Segoe UI Semilight" w:hAnsi="Segoe UI Semilight" w:cs="Segoe UI Semilight"/>
        </w:rPr>
      </w:pPr>
    </w:p>
    <w:p w14:paraId="53BF90C1" w14:textId="30D60A6D" w:rsidR="00344945" w:rsidRDefault="00344945" w:rsidP="005D4B77">
      <w:pPr>
        <w:spacing w:before="0" w:after="0" w:line="360" w:lineRule="auto"/>
        <w:rPr>
          <w:rFonts w:ascii="Times New Roman" w:hAnsi="Times New Roman" w:cs="Times New Roman"/>
          <w:sz w:val="24"/>
        </w:rPr>
      </w:pPr>
    </w:p>
    <w:p w14:paraId="6A8E581D" w14:textId="77777777" w:rsidR="00344945" w:rsidRDefault="00344945" w:rsidP="00344945">
      <w:pPr>
        <w:pStyle w:val="Nadpis1"/>
        <w:ind w:left="-78"/>
        <w:jc w:val="center"/>
        <w:rPr>
          <w:rFonts w:ascii="Segoe UI Semilight" w:hAnsi="Segoe UI Semilight" w:cs="Segoe UI Semilight"/>
          <w:b/>
          <w:color w:val="auto"/>
        </w:rPr>
      </w:pPr>
    </w:p>
    <w:p w14:paraId="1CFE1FE9" w14:textId="77777777" w:rsidR="00344945" w:rsidRDefault="00344945" w:rsidP="00344945">
      <w:pPr>
        <w:pStyle w:val="Nadpis1"/>
        <w:ind w:left="-78"/>
        <w:jc w:val="center"/>
        <w:rPr>
          <w:rFonts w:ascii="Segoe UI Semilight" w:hAnsi="Segoe UI Semilight" w:cs="Segoe UI Semilight"/>
          <w:b/>
          <w:color w:val="auto"/>
        </w:rPr>
      </w:pPr>
    </w:p>
    <w:p w14:paraId="39B49C49" w14:textId="77777777" w:rsidR="00344945" w:rsidRDefault="00344945" w:rsidP="00344945">
      <w:pPr>
        <w:pStyle w:val="Nadpis1"/>
        <w:ind w:left="-78"/>
        <w:jc w:val="center"/>
        <w:rPr>
          <w:rFonts w:ascii="Segoe UI Semilight" w:hAnsi="Segoe UI Semilight" w:cs="Segoe UI Semilight"/>
          <w:b/>
          <w:color w:val="auto"/>
        </w:rPr>
      </w:pPr>
    </w:p>
    <w:p w14:paraId="2570F713" w14:textId="77777777" w:rsidR="00344945" w:rsidRDefault="00344945" w:rsidP="00344945">
      <w:pPr>
        <w:pStyle w:val="Nadpis1"/>
        <w:ind w:left="-78"/>
        <w:jc w:val="center"/>
        <w:rPr>
          <w:rFonts w:ascii="Segoe UI Semilight" w:hAnsi="Segoe UI Semilight" w:cs="Segoe UI Semilight"/>
          <w:b/>
          <w:color w:val="auto"/>
        </w:rPr>
      </w:pPr>
    </w:p>
    <w:p w14:paraId="5211761B" w14:textId="77777777" w:rsidR="00344945" w:rsidRDefault="00344945" w:rsidP="00344945">
      <w:pPr>
        <w:pStyle w:val="Nadpis1"/>
        <w:ind w:left="-78"/>
        <w:jc w:val="center"/>
        <w:rPr>
          <w:rFonts w:ascii="Segoe UI Semilight" w:hAnsi="Segoe UI Semilight" w:cs="Segoe UI Semilight"/>
          <w:b/>
          <w:color w:val="auto"/>
        </w:rPr>
      </w:pPr>
    </w:p>
    <w:p w14:paraId="1664AA59" w14:textId="77777777" w:rsidR="00344945" w:rsidRDefault="00344945" w:rsidP="00344945">
      <w:pPr>
        <w:pStyle w:val="Nadpis1"/>
        <w:ind w:left="-78"/>
        <w:jc w:val="center"/>
        <w:rPr>
          <w:rFonts w:ascii="Segoe UI Semilight" w:hAnsi="Segoe UI Semilight" w:cs="Segoe UI Semilight"/>
          <w:b/>
          <w:color w:val="auto"/>
        </w:rPr>
      </w:pPr>
    </w:p>
    <w:p w14:paraId="3F8F9E81" w14:textId="77777777" w:rsidR="00344945" w:rsidRDefault="00344945" w:rsidP="00344945">
      <w:pPr>
        <w:pStyle w:val="Nadpis1"/>
        <w:ind w:left="-78"/>
        <w:jc w:val="center"/>
        <w:rPr>
          <w:rFonts w:ascii="Segoe UI Semilight" w:hAnsi="Segoe UI Semilight" w:cs="Segoe UI Semilight"/>
          <w:b/>
          <w:color w:val="auto"/>
        </w:rPr>
      </w:pPr>
    </w:p>
    <w:p w14:paraId="2992C674" w14:textId="77777777" w:rsidR="00344945" w:rsidRDefault="00344945" w:rsidP="00344945">
      <w:pPr>
        <w:pStyle w:val="Nadpis1"/>
        <w:ind w:left="-78"/>
        <w:jc w:val="center"/>
        <w:rPr>
          <w:rFonts w:ascii="Segoe UI Semilight" w:hAnsi="Segoe UI Semilight" w:cs="Segoe UI Semilight"/>
          <w:b/>
          <w:color w:val="auto"/>
        </w:rPr>
      </w:pPr>
    </w:p>
    <w:p w14:paraId="5B230F53" w14:textId="77777777" w:rsidR="00344945" w:rsidRDefault="00344945" w:rsidP="00344945">
      <w:pPr>
        <w:pStyle w:val="Nadpis1"/>
        <w:ind w:left="-78"/>
        <w:jc w:val="center"/>
        <w:rPr>
          <w:rFonts w:ascii="Segoe UI Semilight" w:hAnsi="Segoe UI Semilight" w:cs="Segoe UI Semilight"/>
          <w:b/>
          <w:color w:val="auto"/>
        </w:rPr>
      </w:pPr>
    </w:p>
    <w:p w14:paraId="3700B2BF" w14:textId="5953A139" w:rsidR="00CD70E0" w:rsidRDefault="00344945" w:rsidP="00F139F5">
      <w:pPr>
        <w:pStyle w:val="Nadpis1"/>
        <w:ind w:left="-78"/>
        <w:jc w:val="center"/>
        <w:rPr>
          <w:rFonts w:ascii="Times New Roman" w:hAnsi="Times New Roman" w:cs="Times New Roman"/>
          <w:sz w:val="24"/>
        </w:rPr>
      </w:pPr>
      <w:r w:rsidRPr="00344945">
        <w:rPr>
          <w:rFonts w:ascii="Segoe UI Semilight" w:hAnsi="Segoe UI Semilight" w:cs="Segoe UI Semilight"/>
          <w:b/>
          <w:color w:val="auto"/>
        </w:rPr>
        <w:t>Prílohy</w:t>
      </w:r>
      <w:r>
        <w:rPr>
          <w:rFonts w:ascii="Times New Roman" w:hAnsi="Times New Roman" w:cs="Times New Roman"/>
          <w:sz w:val="24"/>
        </w:rPr>
        <w:br w:type="page"/>
      </w:r>
    </w:p>
    <w:p w14:paraId="7BAA75C6" w14:textId="1B5CB21D" w:rsidR="00AB3193" w:rsidRPr="00AB3193" w:rsidRDefault="00344945" w:rsidP="00AB3193">
      <w:pPr>
        <w:pStyle w:val="Popis"/>
        <w:keepNext/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</w:pPr>
      <w:r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lastRenderedPageBreak/>
        <w:t>Príloha</w:t>
      </w:r>
      <w:r w:rsidR="00AB3193" w:rsidRPr="00AB3193"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t xml:space="preserve"> </w:t>
      </w:r>
      <w:r w:rsidR="00AB3193" w:rsidRPr="00AB3193"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fldChar w:fldCharType="begin"/>
      </w:r>
      <w:r w:rsidR="00AB3193" w:rsidRPr="00AB3193"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instrText xml:space="preserve"> SEQ Tabuľka \* ARABIC </w:instrText>
      </w:r>
      <w:r w:rsidR="00AB3193" w:rsidRPr="00AB3193"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fldChar w:fldCharType="separate"/>
      </w:r>
      <w:r w:rsidR="00C2142A">
        <w:rPr>
          <w:rFonts w:ascii="Segoe UI Semilight" w:hAnsi="Segoe UI Semilight" w:cs="Segoe UI Semilight"/>
          <w:b/>
          <w:i w:val="0"/>
          <w:noProof/>
          <w:color w:val="0070C0"/>
          <w:sz w:val="22"/>
          <w:szCs w:val="22"/>
        </w:rPr>
        <w:t>1</w:t>
      </w:r>
      <w:r w:rsidR="00AB3193" w:rsidRPr="00AB3193"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fldChar w:fldCharType="end"/>
      </w:r>
      <w:r w:rsidR="00AB3193" w:rsidRPr="00AB3193"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t>: Rozdelenie oslobodení od spot</w:t>
      </w:r>
      <w:r w:rsidR="00AB3193"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t>r</w:t>
      </w:r>
      <w:r w:rsidR="00AB3193" w:rsidRPr="00AB3193"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t>ebnej dane z elektriny, uhlia a zemného plynu podľa typu dane a užívateľa výhod</w:t>
      </w:r>
    </w:p>
    <w:tbl>
      <w:tblPr>
        <w:tblW w:w="1011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1170"/>
        <w:gridCol w:w="1380"/>
        <w:gridCol w:w="6242"/>
      </w:tblGrid>
      <w:tr w:rsidR="00CD70E0" w:rsidRPr="00CD70E0" w14:paraId="2220E768" w14:textId="77777777" w:rsidTr="00AB3193">
        <w:trPr>
          <w:trHeight w:val="2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296FF"/>
            <w:noWrap/>
            <w:vAlign w:val="bottom"/>
            <w:hideMark/>
          </w:tcPr>
          <w:p w14:paraId="2D41A92F" w14:textId="77777777" w:rsidR="00CD70E0" w:rsidRPr="00755B80" w:rsidRDefault="00CD70E0" w:rsidP="00CD70E0">
            <w:pPr>
              <w:spacing w:before="0" w:after="0"/>
              <w:jc w:val="left"/>
              <w:rPr>
                <w:rFonts w:ascii="Segoe UI Semilight" w:hAnsi="Segoe UI Semilight" w:cs="Segoe UI Semilight"/>
                <w:b/>
                <w:sz w:val="20"/>
              </w:rPr>
            </w:pPr>
            <w:r w:rsidRPr="00755B80">
              <w:rPr>
                <w:rFonts w:ascii="Segoe UI Semilight" w:hAnsi="Segoe UI Semilight" w:cs="Segoe UI Semilight"/>
                <w:b/>
                <w:sz w:val="20"/>
              </w:rPr>
              <w:t>Názov dane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296FF"/>
            <w:noWrap/>
            <w:vAlign w:val="bottom"/>
            <w:hideMark/>
          </w:tcPr>
          <w:p w14:paraId="4B043BE7" w14:textId="77777777" w:rsidR="00CD70E0" w:rsidRPr="00755B80" w:rsidRDefault="00CD70E0" w:rsidP="00CD70E0">
            <w:pPr>
              <w:spacing w:before="0" w:after="0"/>
              <w:jc w:val="left"/>
              <w:rPr>
                <w:rFonts w:ascii="Segoe UI Semilight" w:hAnsi="Segoe UI Semilight" w:cs="Segoe UI Semilight"/>
                <w:b/>
                <w:sz w:val="20"/>
              </w:rPr>
            </w:pPr>
            <w:r w:rsidRPr="00755B80">
              <w:rPr>
                <w:rFonts w:ascii="Segoe UI Semilight" w:hAnsi="Segoe UI Semilight" w:cs="Segoe UI Semilight"/>
                <w:b/>
                <w:sz w:val="20"/>
              </w:rPr>
              <w:t>Typ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296FF"/>
            <w:noWrap/>
            <w:vAlign w:val="bottom"/>
            <w:hideMark/>
          </w:tcPr>
          <w:p w14:paraId="7C7ADFDC" w14:textId="77777777" w:rsidR="00CD70E0" w:rsidRPr="00755B80" w:rsidRDefault="00CD70E0" w:rsidP="00CD70E0">
            <w:pPr>
              <w:spacing w:before="0" w:after="0"/>
              <w:jc w:val="left"/>
              <w:rPr>
                <w:rFonts w:ascii="Segoe UI Semilight" w:hAnsi="Segoe UI Semilight" w:cs="Segoe UI Semilight"/>
                <w:b/>
                <w:sz w:val="20"/>
              </w:rPr>
            </w:pPr>
            <w:r w:rsidRPr="00755B80">
              <w:rPr>
                <w:rFonts w:ascii="Segoe UI Semilight" w:hAnsi="Segoe UI Semilight" w:cs="Segoe UI Semilight"/>
                <w:b/>
                <w:sz w:val="20"/>
              </w:rPr>
              <w:t>Užívateľ výhod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296FF"/>
            <w:noWrap/>
            <w:vAlign w:val="bottom"/>
            <w:hideMark/>
          </w:tcPr>
          <w:p w14:paraId="10EAFE0D" w14:textId="77777777" w:rsidR="00CD70E0" w:rsidRPr="00755B80" w:rsidRDefault="00CD70E0" w:rsidP="00BB5B09">
            <w:pPr>
              <w:spacing w:before="0" w:after="0"/>
              <w:rPr>
                <w:rFonts w:ascii="Segoe UI Semilight" w:hAnsi="Segoe UI Semilight" w:cs="Segoe UI Semilight"/>
                <w:b/>
                <w:sz w:val="20"/>
              </w:rPr>
            </w:pPr>
            <w:r w:rsidRPr="00755B80">
              <w:rPr>
                <w:rFonts w:ascii="Segoe UI Semilight" w:hAnsi="Segoe UI Semilight" w:cs="Segoe UI Semilight"/>
                <w:b/>
                <w:sz w:val="20"/>
              </w:rPr>
              <w:t>Znenie</w:t>
            </w:r>
          </w:p>
        </w:tc>
      </w:tr>
      <w:tr w:rsidR="00CD70E0" w:rsidRPr="00CD70E0" w14:paraId="07655A49" w14:textId="77777777" w:rsidTr="00AB3193">
        <w:trPr>
          <w:trHeight w:val="56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3A79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Daň z elektriny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2EEB" w14:textId="77777777" w:rsidR="00CD70E0" w:rsidRPr="00755B80" w:rsidRDefault="00CD70E0" w:rsidP="00752F85">
            <w:pPr>
              <w:spacing w:before="0" w:after="0"/>
              <w:jc w:val="center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Obligatórne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A39E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Producent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D1B7" w14:textId="77777777" w:rsidR="00CD70E0" w:rsidRPr="00755B80" w:rsidRDefault="00CD70E0" w:rsidP="00BB5B09">
            <w:pPr>
              <w:spacing w:before="0" w:after="0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používaná na výrobu elektriny a na udržanie spôsobilosti zariadenia na výrobu elektriny vrátane strát v technologicky odôvodnenom množstve</w:t>
            </w:r>
          </w:p>
        </w:tc>
      </w:tr>
      <w:tr w:rsidR="00CD70E0" w:rsidRPr="00CD70E0" w14:paraId="51D16EA3" w14:textId="77777777" w:rsidTr="00AB3193">
        <w:trPr>
          <w:trHeight w:val="56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5F49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5946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9F88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Spotrebiteľ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FABA" w14:textId="77777777" w:rsidR="00CD70E0" w:rsidRPr="00755B80" w:rsidRDefault="00CD70E0" w:rsidP="00BB5B09">
            <w:pPr>
              <w:spacing w:before="0" w:after="0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používaná predovšetkým na účely chemickej redukcie, v elektrolytických procesoch alebo v metalurgických procesoch</w:t>
            </w:r>
          </w:p>
        </w:tc>
      </w:tr>
      <w:tr w:rsidR="00CD70E0" w:rsidRPr="00CD70E0" w14:paraId="4FB4C523" w14:textId="77777777" w:rsidTr="00AB3193">
        <w:trPr>
          <w:trHeight w:val="28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3E7A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B14C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AECB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50BA" w14:textId="77777777" w:rsidR="00CD70E0" w:rsidRPr="00755B80" w:rsidRDefault="00CD70E0" w:rsidP="00BB5B09">
            <w:pPr>
              <w:spacing w:before="0" w:after="0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používaná v mineralogických procesoch</w:t>
            </w:r>
          </w:p>
        </w:tc>
      </w:tr>
      <w:tr w:rsidR="00CD70E0" w:rsidRPr="00CD70E0" w14:paraId="5B3CA18B" w14:textId="77777777" w:rsidTr="00AB3193">
        <w:trPr>
          <w:trHeight w:val="56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BA30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A18D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5718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0864" w14:textId="77777777" w:rsidR="00CD70E0" w:rsidRPr="00755B80" w:rsidRDefault="00CD70E0" w:rsidP="00BB5B09">
            <w:pPr>
              <w:spacing w:before="0" w:after="0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 xml:space="preserve">používaná na výrobu výrobku, ak náklady na elektrinu predstavujú viac ako 50 % podielu na priemerných vlastných nákladoch na výrobu výrobku </w:t>
            </w:r>
          </w:p>
        </w:tc>
      </w:tr>
      <w:tr w:rsidR="00CD70E0" w:rsidRPr="00CD70E0" w14:paraId="13E7804C" w14:textId="77777777" w:rsidTr="00AB3193">
        <w:trPr>
          <w:trHeight w:val="56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3AB2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9966" w14:textId="77777777" w:rsidR="00CD70E0" w:rsidRPr="00755B80" w:rsidRDefault="00CD70E0" w:rsidP="00752F85">
            <w:pPr>
              <w:spacing w:before="0" w:after="0"/>
              <w:jc w:val="center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Fakultatívne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DCFB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Producent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7E00" w14:textId="13CB57AF" w:rsidR="00CD70E0" w:rsidRPr="00755B80" w:rsidRDefault="00CD70E0" w:rsidP="0020738F">
            <w:pPr>
              <w:spacing w:before="0" w:after="0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 xml:space="preserve">vyrobená v zariadení na </w:t>
            </w:r>
            <w:r w:rsidR="0020738F">
              <w:rPr>
                <w:rFonts w:ascii="Segoe UI Semilight" w:hAnsi="Segoe UI Semilight" w:cs="Segoe UI Semilight"/>
                <w:sz w:val="20"/>
              </w:rPr>
              <w:t>KVET</w:t>
            </w:r>
            <w:r w:rsidRPr="00755B80">
              <w:rPr>
                <w:rFonts w:ascii="Segoe UI Semilight" w:hAnsi="Segoe UI Semilight" w:cs="Segoe UI Semilight"/>
                <w:sz w:val="20"/>
              </w:rPr>
              <w:t>, ak je dodaná priamo konečnému spotrebiteľovi elektriny</w:t>
            </w:r>
          </w:p>
        </w:tc>
      </w:tr>
      <w:tr w:rsidR="00CD70E0" w:rsidRPr="00CD70E0" w14:paraId="0F22CB70" w14:textId="77777777" w:rsidTr="00AB3193">
        <w:trPr>
          <w:trHeight w:val="28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A339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A3B7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6D70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1FE1" w14:textId="47AB4ADD" w:rsidR="00CD70E0" w:rsidRPr="00755B80" w:rsidRDefault="00CD70E0" w:rsidP="0020738F">
            <w:pPr>
              <w:spacing w:before="0" w:after="0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 xml:space="preserve">používaná na </w:t>
            </w:r>
            <w:r w:rsidR="0020738F">
              <w:rPr>
                <w:rFonts w:ascii="Segoe UI Semilight" w:hAnsi="Segoe UI Semilight" w:cs="Segoe UI Semilight"/>
                <w:sz w:val="20"/>
              </w:rPr>
              <w:t>KVET</w:t>
            </w:r>
          </w:p>
        </w:tc>
      </w:tr>
      <w:tr w:rsidR="00CD70E0" w:rsidRPr="00CD70E0" w14:paraId="04938F83" w14:textId="77777777" w:rsidTr="00AB3193">
        <w:trPr>
          <w:trHeight w:val="56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5337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426A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C9C0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C483" w14:textId="62215EF8" w:rsidR="00CD70E0" w:rsidRPr="00755B80" w:rsidRDefault="00CD70E0" w:rsidP="0020738F">
            <w:pPr>
              <w:spacing w:before="0" w:after="0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vyrobená na palube lode používanej na prepravu osôb alebo nákladov vykonávanú v rámci podnikania</w:t>
            </w:r>
          </w:p>
        </w:tc>
      </w:tr>
      <w:tr w:rsidR="00CD70E0" w:rsidRPr="00CD70E0" w14:paraId="3F888F70" w14:textId="77777777" w:rsidTr="00AB3193">
        <w:trPr>
          <w:trHeight w:val="56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57BA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4AD1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2260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Spotrebiteľ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6676" w14:textId="77777777" w:rsidR="00CD70E0" w:rsidRPr="00755B80" w:rsidRDefault="00CD70E0" w:rsidP="00BB5B09">
            <w:pPr>
              <w:spacing w:before="0" w:after="0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 xml:space="preserve">používaná na prepravu osôb alebo nákladov vlakom, metrom, električkou, trolejbusom, </w:t>
            </w:r>
            <w:proofErr w:type="spellStart"/>
            <w:r w:rsidRPr="00755B80">
              <w:rPr>
                <w:rFonts w:ascii="Segoe UI Semilight" w:hAnsi="Segoe UI Semilight" w:cs="Segoe UI Semilight"/>
                <w:sz w:val="20"/>
              </w:rPr>
              <w:t>elektrobusom</w:t>
            </w:r>
            <w:proofErr w:type="spellEnd"/>
            <w:r w:rsidRPr="00755B80">
              <w:rPr>
                <w:rFonts w:ascii="Segoe UI Semilight" w:hAnsi="Segoe UI Semilight" w:cs="Segoe UI Semilight"/>
                <w:sz w:val="20"/>
              </w:rPr>
              <w:t xml:space="preserve"> alebo lanovkou</w:t>
            </w:r>
          </w:p>
        </w:tc>
      </w:tr>
      <w:tr w:rsidR="00CD70E0" w:rsidRPr="00CD70E0" w14:paraId="72C30CA5" w14:textId="77777777" w:rsidTr="00AB3193">
        <w:trPr>
          <w:trHeight w:val="28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9BF8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6298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3178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90AD" w14:textId="77777777" w:rsidR="00CD70E0" w:rsidRPr="00755B80" w:rsidRDefault="00CD70E0" w:rsidP="00BB5B09">
            <w:pPr>
              <w:spacing w:before="0" w:after="0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používaná koncovým odberateľom elektriny v domácnosti</w:t>
            </w:r>
          </w:p>
        </w:tc>
      </w:tr>
      <w:tr w:rsidR="00CD70E0" w:rsidRPr="00CD70E0" w14:paraId="16BA307B" w14:textId="77777777" w:rsidTr="00AB3193">
        <w:trPr>
          <w:trHeight w:val="28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00F0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Daň z uhlia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DFB7" w14:textId="77777777" w:rsidR="00CD70E0" w:rsidRPr="00755B80" w:rsidRDefault="00CD70E0" w:rsidP="00752F85">
            <w:pPr>
              <w:spacing w:before="0" w:after="0"/>
              <w:jc w:val="center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Obligatórne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31DE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Producent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E8F2" w14:textId="77777777" w:rsidR="00CD70E0" w:rsidRPr="00755B80" w:rsidRDefault="00CD70E0" w:rsidP="00BB5B09">
            <w:pPr>
              <w:spacing w:before="0" w:after="0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 xml:space="preserve">na výrobu koksu a </w:t>
            </w:r>
            <w:proofErr w:type="spellStart"/>
            <w:r w:rsidRPr="00755B80">
              <w:rPr>
                <w:rFonts w:ascii="Segoe UI Semilight" w:hAnsi="Segoe UI Semilight" w:cs="Segoe UI Semilight"/>
                <w:sz w:val="20"/>
              </w:rPr>
              <w:t>polokoksu</w:t>
            </w:r>
            <w:proofErr w:type="spellEnd"/>
          </w:p>
        </w:tc>
      </w:tr>
      <w:tr w:rsidR="00CD70E0" w:rsidRPr="00CD70E0" w14:paraId="3D5CE5FC" w14:textId="77777777" w:rsidTr="00AB3193">
        <w:trPr>
          <w:trHeight w:val="28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AABB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D626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405B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Spotrebiteľ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A0A6" w14:textId="77777777" w:rsidR="00CD70E0" w:rsidRPr="00755B80" w:rsidRDefault="00CD70E0" w:rsidP="00BB5B09">
            <w:pPr>
              <w:spacing w:before="0" w:after="0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na duálne použitie</w:t>
            </w:r>
          </w:p>
        </w:tc>
      </w:tr>
      <w:tr w:rsidR="00CD70E0" w:rsidRPr="00CD70E0" w14:paraId="3C6937D9" w14:textId="77777777" w:rsidTr="00AB3193">
        <w:trPr>
          <w:trHeight w:val="28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BAC2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5F86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5041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8668" w14:textId="77777777" w:rsidR="00CD70E0" w:rsidRPr="00755B80" w:rsidRDefault="00CD70E0" w:rsidP="00BB5B09">
            <w:pPr>
              <w:spacing w:before="0" w:after="0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v mineralogických procesoch</w:t>
            </w:r>
          </w:p>
        </w:tc>
      </w:tr>
      <w:tr w:rsidR="00CD70E0" w:rsidRPr="00CD70E0" w14:paraId="7FEF75F9" w14:textId="77777777" w:rsidTr="00AB3193">
        <w:trPr>
          <w:trHeight w:val="28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413F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D751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1890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39DC" w14:textId="77777777" w:rsidR="00CD70E0" w:rsidRPr="00755B80" w:rsidRDefault="00CD70E0" w:rsidP="00BB5B09">
            <w:pPr>
              <w:spacing w:before="0" w:after="0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na iný účel ako pohonná látka alebo ako palivo na výrobu tepla</w:t>
            </w:r>
          </w:p>
        </w:tc>
      </w:tr>
      <w:tr w:rsidR="00CD70E0" w:rsidRPr="00CD70E0" w14:paraId="7DC0C0A2" w14:textId="77777777" w:rsidTr="00AB3193">
        <w:trPr>
          <w:trHeight w:val="28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D57C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AB9E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C7BB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2A2D" w14:textId="5EFDA012" w:rsidR="00CD70E0" w:rsidRPr="00755B80" w:rsidRDefault="00CD70E0" w:rsidP="0020738F">
            <w:pPr>
              <w:spacing w:before="0" w:after="0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na prevádzkové účely a technologické účely v podniku na ťažbu uhlia a</w:t>
            </w:r>
            <w:r w:rsidR="0020738F">
              <w:rPr>
                <w:rFonts w:ascii="Segoe UI Semilight" w:hAnsi="Segoe UI Semilight" w:cs="Segoe UI Semilight"/>
                <w:sz w:val="20"/>
              </w:rPr>
              <w:t> </w:t>
            </w:r>
            <w:r w:rsidRPr="00755B80">
              <w:rPr>
                <w:rFonts w:ascii="Segoe UI Semilight" w:hAnsi="Segoe UI Semilight" w:cs="Segoe UI Semilight"/>
                <w:sz w:val="20"/>
              </w:rPr>
              <w:t>spracovanie uhlia</w:t>
            </w:r>
          </w:p>
        </w:tc>
      </w:tr>
      <w:tr w:rsidR="00CD70E0" w:rsidRPr="00CD70E0" w14:paraId="78D6648C" w14:textId="77777777" w:rsidTr="00AB3193">
        <w:trPr>
          <w:trHeight w:val="28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0135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3FEB" w14:textId="77777777" w:rsidR="00CD70E0" w:rsidRPr="00755B80" w:rsidRDefault="00CD70E0" w:rsidP="00752F85">
            <w:pPr>
              <w:spacing w:before="0" w:after="0"/>
              <w:jc w:val="center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Fakultatívne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0944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Producent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48F2" w14:textId="534F2DA9" w:rsidR="00CD70E0" w:rsidRPr="00755B80" w:rsidRDefault="00CD70E0" w:rsidP="0020738F">
            <w:pPr>
              <w:spacing w:before="0" w:after="0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 xml:space="preserve">na </w:t>
            </w:r>
            <w:r w:rsidR="0020738F">
              <w:rPr>
                <w:rFonts w:ascii="Segoe UI Semilight" w:hAnsi="Segoe UI Semilight" w:cs="Segoe UI Semilight"/>
                <w:sz w:val="20"/>
              </w:rPr>
              <w:t>KVET</w:t>
            </w:r>
          </w:p>
        </w:tc>
      </w:tr>
      <w:tr w:rsidR="00CD70E0" w:rsidRPr="00CD70E0" w14:paraId="409BFF81" w14:textId="77777777" w:rsidTr="00AB3193">
        <w:trPr>
          <w:trHeight w:val="28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39A2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CF8C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0393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16D0" w14:textId="77777777" w:rsidR="00CD70E0" w:rsidRPr="00755B80" w:rsidRDefault="00CD70E0" w:rsidP="00BB5B09">
            <w:pPr>
              <w:spacing w:before="0" w:after="0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na výrobu elektriny</w:t>
            </w:r>
          </w:p>
        </w:tc>
      </w:tr>
      <w:tr w:rsidR="00CD70E0" w:rsidRPr="00CD70E0" w14:paraId="0287284E" w14:textId="77777777" w:rsidTr="00AB3193">
        <w:trPr>
          <w:trHeight w:val="56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DED1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C16E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7A11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Spotrebiteľ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5C79A" w14:textId="7612A38A" w:rsidR="00CD70E0" w:rsidRPr="00755B80" w:rsidRDefault="00CD70E0" w:rsidP="0020738F">
            <w:pPr>
              <w:spacing w:before="0" w:after="0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na prepravu osôb alebo nákladov vykonávanú v rámci podnikania v</w:t>
            </w:r>
            <w:r w:rsidR="0020738F">
              <w:rPr>
                <w:rFonts w:ascii="Segoe UI Semilight" w:hAnsi="Segoe UI Semilight" w:cs="Segoe UI Semilight"/>
                <w:sz w:val="20"/>
              </w:rPr>
              <w:t> </w:t>
            </w:r>
            <w:r w:rsidRPr="00755B80">
              <w:rPr>
                <w:rFonts w:ascii="Segoe UI Semilight" w:hAnsi="Segoe UI Semilight" w:cs="Segoe UI Semilight"/>
                <w:sz w:val="20"/>
              </w:rPr>
              <w:t>železničnej doprave alebo v riečnej doprave</w:t>
            </w:r>
          </w:p>
        </w:tc>
      </w:tr>
      <w:tr w:rsidR="00CD70E0" w:rsidRPr="00CD70E0" w14:paraId="2A6CA041" w14:textId="77777777" w:rsidTr="00AB3193">
        <w:trPr>
          <w:trHeight w:val="28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E525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87C0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89EB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ECEA" w14:textId="77777777" w:rsidR="00CD70E0" w:rsidRPr="00755B80" w:rsidRDefault="00CD70E0" w:rsidP="00BB5B09">
            <w:pPr>
              <w:spacing w:before="0" w:after="0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koncovým odberateľom uhlia v domácnosti</w:t>
            </w:r>
          </w:p>
        </w:tc>
      </w:tr>
      <w:tr w:rsidR="00CD70E0" w:rsidRPr="00CD70E0" w14:paraId="0BD0C823" w14:textId="77777777" w:rsidTr="00AB3193">
        <w:trPr>
          <w:trHeight w:val="56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CAFE3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Daň zo zemného plynu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5BE0" w14:textId="77777777" w:rsidR="00CD70E0" w:rsidRPr="00755B80" w:rsidRDefault="00CD70E0" w:rsidP="00752F85">
            <w:pPr>
              <w:spacing w:before="0" w:after="0"/>
              <w:jc w:val="center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Obligatórne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73FF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Producent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CC63" w14:textId="77777777" w:rsidR="00CD70E0" w:rsidRPr="00755B80" w:rsidRDefault="00CD70E0" w:rsidP="00BB5B09">
            <w:pPr>
              <w:spacing w:before="0" w:after="0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na výrobu elektriny</w:t>
            </w:r>
          </w:p>
        </w:tc>
      </w:tr>
      <w:tr w:rsidR="00CD70E0" w:rsidRPr="00CD70E0" w14:paraId="1BC51C4D" w14:textId="77777777" w:rsidTr="00AB3193">
        <w:trPr>
          <w:trHeight w:val="28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95D8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62F9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CCB0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Spotrebiteľ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5ACC" w14:textId="77777777" w:rsidR="00CD70E0" w:rsidRPr="00755B80" w:rsidRDefault="00CD70E0" w:rsidP="00BB5B09">
            <w:pPr>
              <w:spacing w:before="0" w:after="0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na duálne použitie</w:t>
            </w:r>
          </w:p>
        </w:tc>
      </w:tr>
      <w:tr w:rsidR="00CD70E0" w:rsidRPr="00CD70E0" w14:paraId="187DCCEC" w14:textId="77777777" w:rsidTr="00AB3193">
        <w:trPr>
          <w:trHeight w:val="28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87CB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5E12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C4F6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E4D7" w14:textId="77777777" w:rsidR="00CD70E0" w:rsidRPr="00755B80" w:rsidRDefault="00CD70E0" w:rsidP="00BB5B09">
            <w:pPr>
              <w:spacing w:before="0" w:after="0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v mineralogických procesoch</w:t>
            </w:r>
          </w:p>
        </w:tc>
      </w:tr>
      <w:tr w:rsidR="00CD70E0" w:rsidRPr="00CD70E0" w14:paraId="45DE0309" w14:textId="77777777" w:rsidTr="00AB3193">
        <w:trPr>
          <w:trHeight w:val="28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31C8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9A66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259A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6A2D" w14:textId="77777777" w:rsidR="00CD70E0" w:rsidRPr="00755B80" w:rsidRDefault="00CD70E0" w:rsidP="00BB5B09">
            <w:pPr>
              <w:spacing w:before="0" w:after="0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na iný účel ako pohonná látka alebo ako palivo na výrobu tepla</w:t>
            </w:r>
          </w:p>
        </w:tc>
      </w:tr>
      <w:tr w:rsidR="00CD70E0" w:rsidRPr="00CD70E0" w14:paraId="4066B15A" w14:textId="77777777" w:rsidTr="00AB3193">
        <w:trPr>
          <w:trHeight w:val="56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3D11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BC5A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6FE3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D0ADD" w14:textId="5FF17507" w:rsidR="00CD70E0" w:rsidRPr="00755B80" w:rsidRDefault="00CD70E0" w:rsidP="0020738F">
            <w:pPr>
              <w:spacing w:before="0" w:after="0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na prevádzkové účely a technologické účely v plynárenskom podniku vrátane strát v technologicky odôvodnenom množstve</w:t>
            </w:r>
          </w:p>
        </w:tc>
      </w:tr>
      <w:tr w:rsidR="00CD70E0" w:rsidRPr="00CD70E0" w14:paraId="631D29A0" w14:textId="77777777" w:rsidTr="00AB3193">
        <w:trPr>
          <w:trHeight w:val="28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A735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6A1B" w14:textId="77777777" w:rsidR="00CD70E0" w:rsidRPr="00755B80" w:rsidRDefault="00CD70E0" w:rsidP="00752F85">
            <w:pPr>
              <w:spacing w:before="0" w:after="0"/>
              <w:jc w:val="center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Fakultatívne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5D15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Producent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CF36" w14:textId="7353C67E" w:rsidR="00CD70E0" w:rsidRPr="00755B80" w:rsidRDefault="00CD70E0" w:rsidP="0020738F">
            <w:pPr>
              <w:spacing w:before="0" w:after="0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 xml:space="preserve">na </w:t>
            </w:r>
            <w:r w:rsidR="0020738F">
              <w:rPr>
                <w:rFonts w:ascii="Segoe UI Semilight" w:hAnsi="Segoe UI Semilight" w:cs="Segoe UI Semilight"/>
                <w:sz w:val="20"/>
              </w:rPr>
              <w:t>KVET</w:t>
            </w:r>
          </w:p>
        </w:tc>
      </w:tr>
      <w:tr w:rsidR="00CD70E0" w:rsidRPr="00CD70E0" w14:paraId="62BF7DCB" w14:textId="77777777" w:rsidTr="00AB3193">
        <w:trPr>
          <w:trHeight w:val="28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C540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1831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F806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Spotrebiteľ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F16B" w14:textId="77777777" w:rsidR="00CD70E0" w:rsidRPr="00755B80" w:rsidRDefault="00CD70E0" w:rsidP="00BB5B09">
            <w:pPr>
              <w:spacing w:before="0" w:after="0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koncovým odberateľom zemného plynu v domácnosti</w:t>
            </w:r>
          </w:p>
        </w:tc>
      </w:tr>
      <w:tr w:rsidR="00CD70E0" w:rsidRPr="00CD70E0" w14:paraId="2D6D2AE9" w14:textId="77777777" w:rsidTr="00AB3193">
        <w:trPr>
          <w:trHeight w:val="56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D279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6438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8046" w14:textId="77777777" w:rsidR="00CD70E0" w:rsidRPr="00755B80" w:rsidRDefault="00CD70E0" w:rsidP="00755B80">
            <w:pPr>
              <w:spacing w:before="0" w:after="0"/>
              <w:jc w:val="left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 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EE5A9" w14:textId="6B039871" w:rsidR="00CD70E0" w:rsidRPr="00755B80" w:rsidRDefault="00CD70E0" w:rsidP="0020738F">
            <w:pPr>
              <w:spacing w:before="0" w:after="0"/>
              <w:rPr>
                <w:rFonts w:ascii="Segoe UI Semilight" w:hAnsi="Segoe UI Semilight" w:cs="Segoe UI Semilight"/>
                <w:sz w:val="20"/>
              </w:rPr>
            </w:pPr>
            <w:r w:rsidRPr="00755B80">
              <w:rPr>
                <w:rFonts w:ascii="Segoe UI Semilight" w:hAnsi="Segoe UI Semilight" w:cs="Segoe UI Semilight"/>
                <w:sz w:val="20"/>
              </w:rPr>
              <w:t>na činnosti bezprostredne súvisiace s prepravou osôb alebo nákladov v</w:t>
            </w:r>
            <w:r w:rsidR="00074F85">
              <w:rPr>
                <w:rFonts w:ascii="Segoe UI Semilight" w:hAnsi="Segoe UI Semilight" w:cs="Segoe UI Semilight"/>
                <w:sz w:val="20"/>
              </w:rPr>
              <w:t xml:space="preserve"> </w:t>
            </w:r>
            <w:r w:rsidRPr="00755B80">
              <w:rPr>
                <w:rFonts w:ascii="Segoe UI Semilight" w:hAnsi="Segoe UI Semilight" w:cs="Segoe UI Semilight"/>
                <w:sz w:val="20"/>
              </w:rPr>
              <w:t>železničnej doprave vykonávané v rámci podnikania</w:t>
            </w:r>
          </w:p>
        </w:tc>
      </w:tr>
    </w:tbl>
    <w:p w14:paraId="581CDE64" w14:textId="00628209" w:rsidR="00396694" w:rsidRPr="00D608E8" w:rsidRDefault="00CD70E0" w:rsidP="00396694">
      <w:pPr>
        <w:spacing w:before="0" w:after="0" w:line="360" w:lineRule="auto"/>
        <w:rPr>
          <w:rFonts w:ascii="Segoe UI Semilight" w:hAnsi="Segoe UI Semilight" w:cs="Segoe UI Semilight"/>
          <w:sz w:val="14"/>
        </w:rPr>
        <w:sectPr w:rsidR="00396694" w:rsidRPr="00D608E8">
          <w:headerReference w:type="default" r:id="rId26"/>
          <w:footerReference w:type="default" r:id="rId2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608E8">
        <w:rPr>
          <w:rFonts w:ascii="Segoe UI Semilight" w:hAnsi="Segoe UI Semilight" w:cs="Segoe UI Semilight"/>
          <w:sz w:val="14"/>
        </w:rPr>
        <w:t>Pozn.: Dvojité použitie</w:t>
      </w:r>
      <w:r w:rsidR="0020738F">
        <w:rPr>
          <w:rFonts w:ascii="Segoe UI Semilight" w:hAnsi="Segoe UI Semilight" w:cs="Segoe UI Semilight"/>
          <w:sz w:val="14"/>
        </w:rPr>
        <w:t xml:space="preserve"> –</w:t>
      </w:r>
      <w:r w:rsidRPr="00D608E8">
        <w:rPr>
          <w:rFonts w:ascii="Segoe UI Semilight" w:hAnsi="Segoe UI Semilight" w:cs="Segoe UI Semilight"/>
          <w:sz w:val="14"/>
        </w:rPr>
        <w:t xml:space="preserve"> komodita používaná ako vykurovacie palivo a na iné účely ako motorové palivo alebo vykurovacie palivo (napr. používanie energetických výrobkov na chemickú redukciu, pri elektrol</w:t>
      </w:r>
      <w:r w:rsidR="00396694" w:rsidRPr="00D608E8">
        <w:rPr>
          <w:rFonts w:ascii="Segoe UI Semilight" w:hAnsi="Segoe UI Semilight" w:cs="Segoe UI Semilight"/>
          <w:sz w:val="14"/>
        </w:rPr>
        <w:t>ýze a metalurgických procesoch)</w:t>
      </w:r>
      <w:r w:rsidR="00D608E8">
        <w:rPr>
          <w:rFonts w:ascii="Segoe UI Semilight" w:hAnsi="Segoe UI Semilight" w:cs="Segoe UI Semilight"/>
          <w:sz w:val="14"/>
        </w:rPr>
        <w:t>.</w:t>
      </w:r>
    </w:p>
    <w:p w14:paraId="49AF30CE" w14:textId="02CFB64D" w:rsidR="00B322AB" w:rsidRDefault="00344945" w:rsidP="00B322AB">
      <w:pPr>
        <w:pStyle w:val="Popis"/>
        <w:keepNext/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</w:pPr>
      <w:r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lastRenderedPageBreak/>
        <w:t>Príloha</w:t>
      </w:r>
      <w:r w:rsidR="00B322AB"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t xml:space="preserve"> </w:t>
      </w:r>
      <w:r w:rsidR="00B322AB"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fldChar w:fldCharType="begin"/>
      </w:r>
      <w:r w:rsidR="00B322AB"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instrText xml:space="preserve"> SEQ Tabuľka \* ARABIC </w:instrText>
      </w:r>
      <w:r w:rsidR="00B322AB"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fldChar w:fldCharType="separate"/>
      </w:r>
      <w:r w:rsidR="00C2142A">
        <w:rPr>
          <w:rFonts w:ascii="Segoe UI Semilight" w:hAnsi="Segoe UI Semilight" w:cs="Segoe UI Semilight"/>
          <w:b/>
          <w:i w:val="0"/>
          <w:noProof/>
          <w:color w:val="0070C0"/>
          <w:sz w:val="22"/>
          <w:szCs w:val="22"/>
        </w:rPr>
        <w:t>2</w:t>
      </w:r>
      <w:r w:rsidR="00B322AB"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fldChar w:fldCharType="end"/>
      </w:r>
      <w:r w:rsidR="000A2BB5"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t>:</w:t>
      </w:r>
      <w:r w:rsidR="00B322AB"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t xml:space="preserve"> Rozdelenie dotácií na fosílne palivá na Slovensku</w:t>
      </w:r>
      <w:r w:rsidR="00074F85"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t xml:space="preserve"> (v mil. eur)</w:t>
      </w:r>
    </w:p>
    <w:p w14:paraId="60F0206E" w14:textId="5EFB1711" w:rsidR="00B322AB" w:rsidRDefault="00773424" w:rsidP="00B322AB">
      <w:pPr>
        <w:spacing w:before="0" w:after="0" w:line="360" w:lineRule="auto"/>
        <w:rPr>
          <w:rFonts w:ascii="Times New Roman" w:hAnsi="Times New Roman" w:cs="Times New Roman"/>
          <w:sz w:val="18"/>
        </w:rPr>
      </w:pPr>
      <w:r w:rsidRPr="00773424">
        <w:rPr>
          <w:noProof/>
          <w:lang w:eastAsia="sk-SK"/>
        </w:rPr>
        <w:drawing>
          <wp:inline distT="0" distB="0" distL="0" distR="0" wp14:anchorId="45539626" wp14:editId="366468E2">
            <wp:extent cx="8892540" cy="4297481"/>
            <wp:effectExtent l="0" t="0" r="3810" b="8255"/>
            <wp:docPr id="37" name="Obrázo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29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914BE" w14:textId="2BFE67AA" w:rsidR="00B322AB" w:rsidRDefault="00B322AB" w:rsidP="00B322AB">
      <w:pPr>
        <w:spacing w:before="0" w:after="0" w:line="360" w:lineRule="auto"/>
        <w:rPr>
          <w:rFonts w:ascii="Segoe UI Semilight" w:hAnsi="Segoe UI Semilight" w:cs="Segoe UI Semilight"/>
          <w:sz w:val="14"/>
        </w:rPr>
      </w:pPr>
      <w:r w:rsidRPr="00D608E8">
        <w:rPr>
          <w:rFonts w:ascii="Segoe UI Semilight" w:hAnsi="Segoe UI Semilight" w:cs="Segoe UI Semilight"/>
          <w:sz w:val="14"/>
        </w:rPr>
        <w:t xml:space="preserve">Pozn.: V prípade chýbajúcich dát za rok 2021 boli tieto dáta doplnené </w:t>
      </w:r>
      <w:proofErr w:type="spellStart"/>
      <w:r w:rsidRPr="00D608E8">
        <w:rPr>
          <w:rFonts w:ascii="Segoe UI Semilight" w:hAnsi="Segoe UI Semilight" w:cs="Segoe UI Semilight"/>
          <w:sz w:val="14"/>
        </w:rPr>
        <w:t>forecastovým</w:t>
      </w:r>
      <w:proofErr w:type="spellEnd"/>
      <w:r w:rsidRPr="00D608E8">
        <w:rPr>
          <w:rFonts w:ascii="Segoe UI Semilight" w:hAnsi="Segoe UI Semilight" w:cs="Segoe UI Semilight"/>
          <w:sz w:val="14"/>
        </w:rPr>
        <w:t xml:space="preserve"> výpočtom</w:t>
      </w:r>
      <w:r w:rsidR="003D2A0A" w:rsidRPr="00D608E8">
        <w:rPr>
          <w:rFonts w:ascii="Segoe UI Semilight" w:hAnsi="Segoe UI Semilight" w:cs="Segoe UI Semilight"/>
          <w:sz w:val="14"/>
        </w:rPr>
        <w:t xml:space="preserve"> (kompenzácie nepriamych nákladov CO</w:t>
      </w:r>
      <w:r w:rsidR="003D2A0A" w:rsidRPr="00F139F5">
        <w:rPr>
          <w:rFonts w:ascii="Segoe UI Semilight" w:hAnsi="Segoe UI Semilight" w:cs="Segoe UI Semilight"/>
          <w:sz w:val="14"/>
          <w:vertAlign w:val="subscript"/>
        </w:rPr>
        <w:t>2</w:t>
      </w:r>
      <w:r w:rsidR="003D2A0A" w:rsidRPr="00D608E8">
        <w:rPr>
          <w:rFonts w:ascii="Segoe UI Semilight" w:hAnsi="Segoe UI Semilight" w:cs="Segoe UI Semilight"/>
          <w:sz w:val="14"/>
        </w:rPr>
        <w:t>)</w:t>
      </w:r>
      <w:r w:rsidRPr="00D608E8">
        <w:rPr>
          <w:rFonts w:ascii="Segoe UI Semilight" w:hAnsi="Segoe UI Semilight" w:cs="Segoe UI Semilight"/>
          <w:sz w:val="14"/>
        </w:rPr>
        <w:t>.</w:t>
      </w:r>
    </w:p>
    <w:p w14:paraId="59DBA798" w14:textId="037EC2FB" w:rsidR="00007CB0" w:rsidRDefault="00007CB0" w:rsidP="00B322AB">
      <w:pPr>
        <w:spacing w:before="0" w:after="0" w:line="360" w:lineRule="auto"/>
        <w:rPr>
          <w:rFonts w:ascii="Segoe UI Semilight" w:hAnsi="Segoe UI Semilight" w:cs="Segoe UI Semilight"/>
          <w:sz w:val="14"/>
        </w:rPr>
      </w:pPr>
      <w:r>
        <w:rPr>
          <w:rFonts w:ascii="Segoe UI Semilight" w:hAnsi="Segoe UI Semilight" w:cs="Segoe UI Semilight"/>
          <w:sz w:val="14"/>
        </w:rPr>
        <w:t>Spotrebiteľ P- spotrebiteľ producent</w:t>
      </w:r>
    </w:p>
    <w:p w14:paraId="310AC078" w14:textId="6D5DD662" w:rsidR="00007CB0" w:rsidRPr="00D608E8" w:rsidRDefault="00007CB0" w:rsidP="00B322AB">
      <w:pPr>
        <w:spacing w:before="0" w:after="0" w:line="360" w:lineRule="auto"/>
        <w:rPr>
          <w:rFonts w:ascii="Segoe UI Semilight" w:hAnsi="Segoe UI Semilight" w:cs="Segoe UI Semilight"/>
          <w:sz w:val="14"/>
        </w:rPr>
      </w:pPr>
      <w:r>
        <w:rPr>
          <w:rFonts w:ascii="Segoe UI Semilight" w:hAnsi="Segoe UI Semilight" w:cs="Segoe UI Semilight"/>
          <w:sz w:val="14"/>
        </w:rPr>
        <w:t>Spotrebiteľ D- spotrebiteľ v</w:t>
      </w:r>
      <w:r w:rsidR="00361DB5">
        <w:rPr>
          <w:rFonts w:ascii="Segoe UI Semilight" w:hAnsi="Segoe UI Semilight" w:cs="Segoe UI Semilight"/>
          <w:sz w:val="14"/>
        </w:rPr>
        <w:t> </w:t>
      </w:r>
      <w:r>
        <w:rPr>
          <w:rFonts w:ascii="Segoe UI Semilight" w:hAnsi="Segoe UI Semilight" w:cs="Segoe UI Semilight"/>
          <w:sz w:val="14"/>
        </w:rPr>
        <w:t>domácnosti</w:t>
      </w:r>
      <w:r w:rsidR="00361DB5">
        <w:rPr>
          <w:rFonts w:ascii="Segoe UI Semilight" w:hAnsi="Segoe UI Semilight" w:cs="Segoe UI Semilight"/>
          <w:sz w:val="14"/>
        </w:rPr>
        <w:t xml:space="preserve"> a zraniteľní odberatelia</w:t>
      </w:r>
    </w:p>
    <w:p w14:paraId="183DB5BC" w14:textId="0387B0B6" w:rsidR="00B322AB" w:rsidRDefault="00344945" w:rsidP="00B322AB">
      <w:pPr>
        <w:pStyle w:val="Popis"/>
        <w:keepNext/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</w:pPr>
      <w:r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lastRenderedPageBreak/>
        <w:t>Príloha</w:t>
      </w:r>
      <w:r w:rsidR="00B322AB"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t xml:space="preserve"> </w:t>
      </w:r>
      <w:r w:rsidR="00B322AB"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fldChar w:fldCharType="begin"/>
      </w:r>
      <w:r w:rsidR="00B322AB"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instrText xml:space="preserve"> SEQ Tabuľka \* ARABIC </w:instrText>
      </w:r>
      <w:r w:rsidR="00B322AB"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fldChar w:fldCharType="separate"/>
      </w:r>
      <w:r w:rsidR="00C2142A">
        <w:rPr>
          <w:rFonts w:ascii="Segoe UI Semilight" w:hAnsi="Segoe UI Semilight" w:cs="Segoe UI Semilight"/>
          <w:b/>
          <w:i w:val="0"/>
          <w:noProof/>
          <w:color w:val="0070C0"/>
          <w:sz w:val="22"/>
          <w:szCs w:val="22"/>
        </w:rPr>
        <w:t>3</w:t>
      </w:r>
      <w:r w:rsidR="00B322AB"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fldChar w:fldCharType="end"/>
      </w:r>
      <w:r w:rsidR="00B322AB"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t xml:space="preserve">: </w:t>
      </w:r>
      <w:r w:rsidR="00A30C28"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t xml:space="preserve">Návrh </w:t>
      </w:r>
      <w:proofErr w:type="spellStart"/>
      <w:r w:rsidR="00A30C28"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t>priorizácie</w:t>
      </w:r>
      <w:proofErr w:type="spellEnd"/>
      <w:r w:rsidR="00A30C28"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t xml:space="preserve"> jednotlivých opatrení</w:t>
      </w:r>
    </w:p>
    <w:p w14:paraId="1271B8C1" w14:textId="6CBF1305" w:rsidR="00B322AB" w:rsidRDefault="00B322AB" w:rsidP="00B322AB">
      <w:pPr>
        <w:spacing w:before="0" w:after="0" w:line="360" w:lineRule="auto"/>
        <w:rPr>
          <w:sz w:val="16"/>
        </w:rPr>
      </w:pPr>
    </w:p>
    <w:p w14:paraId="4CC5512D" w14:textId="42065A1F" w:rsidR="00361DB5" w:rsidRPr="00361DB5" w:rsidRDefault="00F85A66">
      <w:pPr>
        <w:spacing w:before="0" w:line="259" w:lineRule="auto"/>
        <w:jc w:val="left"/>
        <w:rPr>
          <w:rFonts w:ascii="Segoe UI Semilight" w:hAnsi="Segoe UI Semilight" w:cs="Segoe UI Semilight"/>
          <w:sz w:val="18"/>
        </w:rPr>
        <w:sectPr w:rsidR="00361DB5" w:rsidRPr="00361DB5" w:rsidSect="0039669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F85A66">
        <w:rPr>
          <w:noProof/>
          <w:lang w:eastAsia="sk-SK"/>
        </w:rPr>
        <w:drawing>
          <wp:inline distT="0" distB="0" distL="0" distR="0" wp14:anchorId="40A4946D" wp14:editId="1B40C04A">
            <wp:extent cx="9004300" cy="4730115"/>
            <wp:effectExtent l="0" t="0" r="635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5135" cy="473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CCEFB" w14:textId="49CDEA81" w:rsidR="00344945" w:rsidRPr="005240F7" w:rsidRDefault="00344945" w:rsidP="00344945">
      <w:pPr>
        <w:pStyle w:val="Popis"/>
        <w:keepNext/>
        <w:rPr>
          <w:rFonts w:ascii="Segoe UI Semilight" w:hAnsi="Segoe UI Semilight" w:cs="Segoe UI Semilight"/>
          <w:b/>
          <w:i w:val="0"/>
          <w:color w:val="FF0000"/>
          <w:sz w:val="22"/>
          <w:szCs w:val="22"/>
        </w:rPr>
      </w:pPr>
      <w:r w:rsidRPr="00344945">
        <w:rPr>
          <w:rFonts w:ascii="Segoe UI Semilight" w:hAnsi="Segoe UI Semilight" w:cs="Segoe UI Semilight"/>
          <w:b/>
          <w:i w:val="0"/>
          <w:color w:val="0070C0"/>
          <w:sz w:val="22"/>
          <w:szCs w:val="22"/>
        </w:rPr>
        <w:lastRenderedPageBreak/>
        <w:t>Príloha 4: Zoznam skratiek</w:t>
      </w:r>
    </w:p>
    <w:p w14:paraId="71A6DD84" w14:textId="26667286" w:rsidR="00FC6AC3" w:rsidRDefault="00F139F5" w:rsidP="00FC6AC3">
      <w:p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ČU – čierne uhlie</w:t>
      </w:r>
    </w:p>
    <w:p w14:paraId="455547E4" w14:textId="77777777" w:rsidR="00FC6AC3" w:rsidRPr="00D608E8" w:rsidRDefault="00FC6AC3" w:rsidP="00FC6AC3">
      <w:pPr>
        <w:rPr>
          <w:rFonts w:ascii="Segoe UI Semilight" w:hAnsi="Segoe UI Semilight" w:cs="Segoe UI Semilight"/>
        </w:rPr>
      </w:pPr>
      <w:r w:rsidRPr="00D608E8">
        <w:rPr>
          <w:rFonts w:ascii="Segoe UI Semilight" w:hAnsi="Segoe UI Semilight" w:cs="Segoe UI Semilight"/>
        </w:rPr>
        <w:t xml:space="preserve">ENO </w:t>
      </w:r>
      <w:r>
        <w:rPr>
          <w:rFonts w:ascii="Segoe UI Semilight" w:hAnsi="Segoe UI Semilight" w:cs="Segoe UI Semilight"/>
        </w:rPr>
        <w:t>–</w:t>
      </w:r>
      <w:r w:rsidRPr="00D608E8">
        <w:rPr>
          <w:rFonts w:ascii="Segoe UI Semilight" w:hAnsi="Segoe UI Semilight" w:cs="Segoe UI Semilight"/>
        </w:rPr>
        <w:t xml:space="preserve"> Elektráreň Nováky</w:t>
      </w:r>
    </w:p>
    <w:p w14:paraId="19C91AE4" w14:textId="77777777" w:rsidR="00FC6AC3" w:rsidRDefault="00FC6AC3" w:rsidP="00FC6AC3">
      <w:p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HDP – hrubý domáci produkt</w:t>
      </w:r>
    </w:p>
    <w:p w14:paraId="6C99B276" w14:textId="3ED71A4B" w:rsidR="00FC6AC3" w:rsidRDefault="00F139F5" w:rsidP="00FC6AC3">
      <w:p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HU – hnedé uhlie</w:t>
      </w:r>
    </w:p>
    <w:p w14:paraId="789A3D01" w14:textId="77777777" w:rsidR="00FC6AC3" w:rsidRDefault="00FC6AC3" w:rsidP="00FC6AC3">
      <w:p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IEA – Medzinárodná energetická agentúra</w:t>
      </w:r>
    </w:p>
    <w:p w14:paraId="199D7C02" w14:textId="77777777" w:rsidR="00FC6AC3" w:rsidRDefault="00FC6AC3" w:rsidP="00FC6AC3">
      <w:p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IHA – Inštitút hospodárskych analýz MH SR</w:t>
      </w:r>
    </w:p>
    <w:p w14:paraId="6DC7C57F" w14:textId="77777777" w:rsidR="00FC6AC3" w:rsidRPr="00D608E8" w:rsidRDefault="00FC6AC3" w:rsidP="00FC6AC3">
      <w:pPr>
        <w:rPr>
          <w:rFonts w:ascii="Segoe UI Semilight" w:hAnsi="Segoe UI Semilight" w:cs="Segoe UI Semilight"/>
        </w:rPr>
      </w:pPr>
      <w:r w:rsidRPr="00D608E8">
        <w:rPr>
          <w:rFonts w:ascii="Segoe UI Semilight" w:hAnsi="Segoe UI Semilight" w:cs="Segoe UI Semilight"/>
        </w:rPr>
        <w:t xml:space="preserve">KVET </w:t>
      </w:r>
      <w:r>
        <w:rPr>
          <w:rFonts w:ascii="Segoe UI Semilight" w:hAnsi="Segoe UI Semilight" w:cs="Segoe UI Semilight"/>
        </w:rPr>
        <w:t>–</w:t>
      </w:r>
      <w:r w:rsidRPr="00D608E8">
        <w:rPr>
          <w:rFonts w:ascii="Segoe UI Semilight" w:hAnsi="Segoe UI Semilight" w:cs="Segoe UI Semilight"/>
        </w:rPr>
        <w:t xml:space="preserve"> kombinovaná výroba elektriny a tepla</w:t>
      </w:r>
    </w:p>
    <w:p w14:paraId="6A87E244" w14:textId="77777777" w:rsidR="00FC6AC3" w:rsidRPr="00D608E8" w:rsidRDefault="00FC6AC3" w:rsidP="00FC6AC3">
      <w:pPr>
        <w:rPr>
          <w:rFonts w:ascii="Segoe UI Semilight" w:hAnsi="Segoe UI Semilight" w:cs="Segoe UI Semilight"/>
        </w:rPr>
      </w:pPr>
      <w:r w:rsidRPr="00D608E8">
        <w:rPr>
          <w:rFonts w:ascii="Segoe UI Semilight" w:hAnsi="Segoe UI Semilight" w:cs="Segoe UI Semilight"/>
        </w:rPr>
        <w:t xml:space="preserve">NJF </w:t>
      </w:r>
      <w:r>
        <w:rPr>
          <w:rFonts w:ascii="Segoe UI Semilight" w:hAnsi="Segoe UI Semilight" w:cs="Segoe UI Semilight"/>
        </w:rPr>
        <w:t>–</w:t>
      </w:r>
      <w:r w:rsidRPr="00D608E8">
        <w:rPr>
          <w:rFonts w:ascii="Segoe UI Semilight" w:hAnsi="Segoe UI Semilight" w:cs="Segoe UI Semilight"/>
        </w:rPr>
        <w:t xml:space="preserve"> Národný jadrový fond</w:t>
      </w:r>
    </w:p>
    <w:p w14:paraId="2AD0AAB4" w14:textId="3B89C655" w:rsidR="00FC6AC3" w:rsidRDefault="00FC6AC3" w:rsidP="00FC6AC3">
      <w:pPr>
        <w:rPr>
          <w:rFonts w:ascii="Segoe UI Semilight" w:hAnsi="Segoe UI Semilight" w:cs="Segoe UI Semilight"/>
        </w:rPr>
      </w:pPr>
      <w:r w:rsidRPr="00D608E8">
        <w:rPr>
          <w:rFonts w:ascii="Segoe UI Semilight" w:hAnsi="Segoe UI Semilight" w:cs="Segoe UI Semilight"/>
        </w:rPr>
        <w:t xml:space="preserve">OBÚ </w:t>
      </w:r>
      <w:r>
        <w:rPr>
          <w:rFonts w:ascii="Segoe UI Semilight" w:hAnsi="Segoe UI Semilight" w:cs="Segoe UI Semilight"/>
        </w:rPr>
        <w:t>–</w:t>
      </w:r>
      <w:r w:rsidRPr="00D608E8">
        <w:rPr>
          <w:rFonts w:ascii="Segoe UI Semilight" w:hAnsi="Segoe UI Semilight" w:cs="Segoe UI Semilight"/>
        </w:rPr>
        <w:t xml:space="preserve"> obvodný banský úrad</w:t>
      </w:r>
    </w:p>
    <w:p w14:paraId="2F8A8EE9" w14:textId="27176D63" w:rsidR="000466A2" w:rsidRPr="00D608E8" w:rsidRDefault="00361DB5" w:rsidP="00FC6AC3">
      <w:p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PZE</w:t>
      </w:r>
      <w:r w:rsidR="000466A2">
        <w:rPr>
          <w:rFonts w:ascii="Segoe UI Semilight" w:hAnsi="Segoe UI Semilight" w:cs="Segoe UI Semilight"/>
        </w:rPr>
        <w:t xml:space="preserve"> – primárny zdroj energie</w:t>
      </w:r>
    </w:p>
    <w:p w14:paraId="3B7A60DF" w14:textId="77777777" w:rsidR="00FC6AC3" w:rsidRDefault="00FC6AC3" w:rsidP="00FC6AC3">
      <w:pPr>
        <w:rPr>
          <w:rFonts w:ascii="Segoe UI Semilight" w:hAnsi="Segoe UI Semilight" w:cs="Segoe UI Semilight"/>
        </w:rPr>
      </w:pPr>
      <w:r w:rsidRPr="00D608E8">
        <w:rPr>
          <w:rFonts w:ascii="Segoe UI Semilight" w:hAnsi="Segoe UI Semilight" w:cs="Segoe UI Semilight"/>
        </w:rPr>
        <w:t xml:space="preserve">ŠÚ SR </w:t>
      </w:r>
      <w:r>
        <w:rPr>
          <w:rFonts w:ascii="Segoe UI Semilight" w:hAnsi="Segoe UI Semilight" w:cs="Segoe UI Semilight"/>
        </w:rPr>
        <w:t>–</w:t>
      </w:r>
      <w:r w:rsidRPr="00D608E8">
        <w:rPr>
          <w:rFonts w:ascii="Segoe UI Semilight" w:hAnsi="Segoe UI Semilight" w:cs="Segoe UI Semilight"/>
        </w:rPr>
        <w:t xml:space="preserve"> Štatistický úrad Slovenskej republiky</w:t>
      </w:r>
    </w:p>
    <w:p w14:paraId="2B5DFC5A" w14:textId="77D9B3A1" w:rsidR="0045379E" w:rsidRPr="00D608E8" w:rsidRDefault="0045379E" w:rsidP="0045379E">
      <w:pPr>
        <w:rPr>
          <w:rFonts w:ascii="Segoe UI Semilight" w:hAnsi="Segoe UI Semilight" w:cs="Segoe UI Semilight"/>
        </w:rPr>
      </w:pPr>
      <w:r w:rsidRPr="00D608E8">
        <w:rPr>
          <w:rFonts w:ascii="Segoe UI Semilight" w:hAnsi="Segoe UI Semilight" w:cs="Segoe UI Semilight"/>
        </w:rPr>
        <w:t xml:space="preserve">TPS </w:t>
      </w:r>
      <w:r w:rsidR="00E41CE6">
        <w:rPr>
          <w:rFonts w:ascii="Segoe UI Semilight" w:hAnsi="Segoe UI Semilight" w:cs="Segoe UI Semilight"/>
        </w:rPr>
        <w:t>–</w:t>
      </w:r>
      <w:r w:rsidR="00E41CE6" w:rsidRPr="00D608E8">
        <w:rPr>
          <w:rFonts w:ascii="Segoe UI Semilight" w:hAnsi="Segoe UI Semilight" w:cs="Segoe UI Semilight"/>
        </w:rPr>
        <w:t xml:space="preserve"> </w:t>
      </w:r>
      <w:r w:rsidRPr="00D608E8">
        <w:rPr>
          <w:rFonts w:ascii="Segoe UI Semilight" w:hAnsi="Segoe UI Semilight" w:cs="Segoe UI Semilight"/>
        </w:rPr>
        <w:t>tarifa za prevádzkovanie systému</w:t>
      </w:r>
    </w:p>
    <w:p w14:paraId="7BE76650" w14:textId="18B216DF" w:rsidR="0045379E" w:rsidRPr="00D608E8" w:rsidRDefault="0045379E" w:rsidP="0045379E">
      <w:pPr>
        <w:rPr>
          <w:rFonts w:ascii="Segoe UI Semilight" w:hAnsi="Segoe UI Semilight" w:cs="Segoe UI Semilight"/>
        </w:rPr>
      </w:pPr>
      <w:r w:rsidRPr="00D608E8">
        <w:rPr>
          <w:rFonts w:ascii="Segoe UI Semilight" w:hAnsi="Segoe UI Semilight" w:cs="Segoe UI Semilight"/>
        </w:rPr>
        <w:t xml:space="preserve">TSS </w:t>
      </w:r>
      <w:r w:rsidR="00E41CE6">
        <w:rPr>
          <w:rFonts w:ascii="Segoe UI Semilight" w:hAnsi="Segoe UI Semilight" w:cs="Segoe UI Semilight"/>
        </w:rPr>
        <w:t>–</w:t>
      </w:r>
      <w:r w:rsidR="00E41CE6" w:rsidRPr="00D608E8">
        <w:rPr>
          <w:rFonts w:ascii="Segoe UI Semilight" w:hAnsi="Segoe UI Semilight" w:cs="Segoe UI Semilight"/>
        </w:rPr>
        <w:t xml:space="preserve"> </w:t>
      </w:r>
      <w:r w:rsidRPr="00D608E8">
        <w:rPr>
          <w:rFonts w:ascii="Segoe UI Semilight" w:hAnsi="Segoe UI Semilight" w:cs="Segoe UI Semilight"/>
        </w:rPr>
        <w:t>tarifa za systémové služby</w:t>
      </w:r>
    </w:p>
    <w:p w14:paraId="464ED969" w14:textId="3DB377DC" w:rsidR="00FC6AC3" w:rsidRDefault="00FC6AC3" w:rsidP="00FC6AC3">
      <w:pPr>
        <w:rPr>
          <w:rFonts w:ascii="Segoe UI Semilight" w:hAnsi="Segoe UI Semilight" w:cs="Segoe UI Semilight"/>
        </w:rPr>
      </w:pPr>
      <w:r w:rsidRPr="00D608E8">
        <w:rPr>
          <w:rFonts w:ascii="Segoe UI Semilight" w:hAnsi="Segoe UI Semilight" w:cs="Segoe UI Semilight"/>
        </w:rPr>
        <w:t>ÚRSO</w:t>
      </w:r>
      <w:r>
        <w:rPr>
          <w:rFonts w:ascii="Segoe UI Semilight" w:hAnsi="Segoe UI Semilight" w:cs="Segoe UI Semilight"/>
        </w:rPr>
        <w:t xml:space="preserve"> –</w:t>
      </w:r>
      <w:r w:rsidRPr="00D608E8">
        <w:rPr>
          <w:rFonts w:ascii="Segoe UI Semilight" w:hAnsi="Segoe UI Semilight" w:cs="Segoe UI Semilight"/>
        </w:rPr>
        <w:t xml:space="preserve"> Úrad pre reguláciu sieťových odvetví</w:t>
      </w:r>
    </w:p>
    <w:p w14:paraId="290A1022" w14:textId="0F6E77E1" w:rsidR="00DA0C5E" w:rsidRPr="00D608E8" w:rsidRDefault="00DA0C5E" w:rsidP="00FC6AC3">
      <w:p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VHZ – všeobecný hospodársky záujem</w:t>
      </w:r>
    </w:p>
    <w:p w14:paraId="1CC54855" w14:textId="1E28A9FD" w:rsidR="00FC6AC3" w:rsidRDefault="00F139F5" w:rsidP="00FC6AC3">
      <w:p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ZP – zemný plyn</w:t>
      </w:r>
    </w:p>
    <w:p w14:paraId="04FCD2DD" w14:textId="6FADA576" w:rsidR="00FC6AC3" w:rsidRPr="00D608E8" w:rsidRDefault="00FC6AC3" w:rsidP="0045379E">
      <w:pPr>
        <w:rPr>
          <w:rFonts w:ascii="Segoe UI Semilight" w:hAnsi="Segoe UI Semilight" w:cs="Segoe UI Semilight"/>
        </w:rPr>
      </w:pPr>
    </w:p>
    <w:sectPr w:rsidR="00FC6AC3" w:rsidRPr="00D608E8" w:rsidSect="00344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6D6E2" w14:textId="77777777" w:rsidR="005E530E" w:rsidRDefault="005E530E" w:rsidP="00241AF4">
      <w:pPr>
        <w:spacing w:after="0"/>
      </w:pPr>
      <w:r>
        <w:separator/>
      </w:r>
    </w:p>
  </w:endnote>
  <w:endnote w:type="continuationSeparator" w:id="0">
    <w:p w14:paraId="070D6802" w14:textId="77777777" w:rsidR="005E530E" w:rsidRDefault="005E530E" w:rsidP="00241A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43769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98C571" w14:textId="77777777" w:rsidR="00270E7B" w:rsidRDefault="00270E7B" w:rsidP="005C5283">
            <w:pPr>
              <w:pStyle w:val="Pta"/>
              <w:tabs>
                <w:tab w:val="left" w:pos="8647"/>
              </w:tabs>
            </w:pPr>
            <w:r w:rsidRPr="00E431BB">
              <w:rPr>
                <w:noProof/>
                <w:color w:val="BFBFBF" w:themeColor="background1" w:themeShade="BF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1D18D0" wp14:editId="124DD84E">
                      <wp:simplePos x="0" y="0"/>
                      <wp:positionH relativeFrom="page">
                        <wp:posOffset>4445</wp:posOffset>
                      </wp:positionH>
                      <wp:positionV relativeFrom="paragraph">
                        <wp:posOffset>0</wp:posOffset>
                      </wp:positionV>
                      <wp:extent cx="10668000" cy="219075"/>
                      <wp:effectExtent l="0" t="0" r="19050" b="28575"/>
                      <wp:wrapNone/>
                      <wp:docPr id="14" name="Textové po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6350">
                                <a:solidFill>
                                  <a:srgbClr val="0070C0"/>
                                </a:solidFill>
                              </a:ln>
                            </wps:spPr>
                            <wps:txbx>
                              <w:txbxContent>
                                <w:p w14:paraId="3C082BCF" w14:textId="77777777" w:rsidR="00270E7B" w:rsidRDefault="00270E7B" w:rsidP="00302614">
                                  <w:pPr>
                                    <w:pStyle w:val="Odsekzoznamu"/>
                                    <w:spacing w:after="0"/>
                                    <w:ind w:left="1276" w:right="304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0856AC9" w14:textId="77777777" w:rsidR="00270E7B" w:rsidRDefault="00270E7B" w:rsidP="00302614">
                                  <w:pPr>
                                    <w:pStyle w:val="Odsekzoznamu"/>
                                    <w:spacing w:after="0"/>
                                    <w:ind w:left="1276" w:right="304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95E588B" w14:textId="77777777" w:rsidR="00270E7B" w:rsidRDefault="00270E7B" w:rsidP="00302614">
                                  <w:pPr>
                                    <w:pStyle w:val="Odsekzoznamu"/>
                                    <w:spacing w:after="0"/>
                                    <w:ind w:left="1276" w:right="304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37796D2" w14:textId="77777777" w:rsidR="00270E7B" w:rsidRDefault="00270E7B" w:rsidP="00302614">
                                  <w:pPr>
                                    <w:pStyle w:val="Odsekzoznamu"/>
                                    <w:spacing w:after="0"/>
                                    <w:ind w:left="1276" w:right="304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DE1FDAF" w14:textId="77777777" w:rsidR="00270E7B" w:rsidRDefault="00270E7B" w:rsidP="00302614">
                                  <w:pPr>
                                    <w:pStyle w:val="Odsekzoznamu"/>
                                    <w:spacing w:after="0"/>
                                    <w:ind w:left="1276" w:right="304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1CE051A" w14:textId="77777777" w:rsidR="00270E7B" w:rsidRDefault="00270E7B" w:rsidP="00302614">
                                  <w:pPr>
                                    <w:pStyle w:val="Odsekzoznamu"/>
                                    <w:spacing w:after="0"/>
                                    <w:ind w:left="1276" w:right="304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1D18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4" o:spid="_x0000_s1032" type="#_x0000_t202" style="position:absolute;left:0;text-align:left;margin-left:.35pt;margin-top:0;width:840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" fillcolor="#0070c0" strokecolor="#0070c0" strokeweight=".5pt">
                      <v:textbox>
                        <w:txbxContent>
                          <w:p w14:paraId="3C082BCF" w14:textId="77777777" w:rsidR="00270E7B" w:rsidRDefault="00270E7B" w:rsidP="00302614">
                            <w:pPr>
                              <w:pStyle w:val="Odsekzoznamu"/>
                              <w:spacing w:after="0"/>
                              <w:ind w:left="1276" w:right="304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0856AC9" w14:textId="77777777" w:rsidR="00270E7B" w:rsidRDefault="00270E7B" w:rsidP="00302614">
                            <w:pPr>
                              <w:pStyle w:val="Odsekzoznamu"/>
                              <w:spacing w:after="0"/>
                              <w:ind w:left="1276" w:right="304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95E588B" w14:textId="77777777" w:rsidR="00270E7B" w:rsidRDefault="00270E7B" w:rsidP="00302614">
                            <w:pPr>
                              <w:pStyle w:val="Odsekzoznamu"/>
                              <w:spacing w:after="0"/>
                              <w:ind w:left="1276" w:right="304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37796D2" w14:textId="77777777" w:rsidR="00270E7B" w:rsidRDefault="00270E7B" w:rsidP="00302614">
                            <w:pPr>
                              <w:pStyle w:val="Odsekzoznamu"/>
                              <w:spacing w:after="0"/>
                              <w:ind w:left="1276" w:right="304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DE1FDAF" w14:textId="77777777" w:rsidR="00270E7B" w:rsidRDefault="00270E7B" w:rsidP="00302614">
                            <w:pPr>
                              <w:pStyle w:val="Odsekzoznamu"/>
                              <w:spacing w:after="0"/>
                              <w:ind w:left="1276" w:right="304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1CE051A" w14:textId="77777777" w:rsidR="00270E7B" w:rsidRDefault="00270E7B" w:rsidP="00302614">
                            <w:pPr>
                              <w:pStyle w:val="Odsekzoznamu"/>
                              <w:spacing w:after="0"/>
                              <w:ind w:left="1276" w:right="304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BDB61AE" w14:textId="3EEF3825" w:rsidR="00270E7B" w:rsidRPr="00D95F48" w:rsidRDefault="00270E7B" w:rsidP="001051B7">
            <w:pPr>
              <w:pStyle w:val="Pta"/>
              <w:tabs>
                <w:tab w:val="clear" w:pos="4536"/>
                <w:tab w:val="center" w:pos="8647"/>
              </w:tabs>
            </w:pPr>
            <w:r>
              <w:tab/>
            </w:r>
            <w:r w:rsidRPr="00302614">
              <w:rPr>
                <w:b/>
                <w:bCs/>
                <w:color w:val="0070C0"/>
                <w:sz w:val="24"/>
                <w:szCs w:val="24"/>
              </w:rPr>
              <w:fldChar w:fldCharType="begin"/>
            </w:r>
            <w:r w:rsidRPr="00302614">
              <w:rPr>
                <w:b/>
                <w:bCs/>
                <w:color w:val="0070C0"/>
              </w:rPr>
              <w:instrText>PAGE</w:instrText>
            </w:r>
            <w:r w:rsidRPr="00302614">
              <w:rPr>
                <w:b/>
                <w:bCs/>
                <w:color w:val="0070C0"/>
                <w:sz w:val="24"/>
                <w:szCs w:val="24"/>
              </w:rPr>
              <w:fldChar w:fldCharType="separate"/>
            </w:r>
            <w:r w:rsidR="00B4123B">
              <w:rPr>
                <w:b/>
                <w:bCs/>
                <w:noProof/>
                <w:color w:val="0070C0"/>
              </w:rPr>
              <w:t>3</w:t>
            </w:r>
            <w:r w:rsidRPr="00302614">
              <w:rPr>
                <w:b/>
                <w:bCs/>
                <w:color w:val="0070C0"/>
                <w:sz w:val="24"/>
                <w:szCs w:val="24"/>
              </w:rPr>
              <w:fldChar w:fldCharType="end"/>
            </w:r>
            <w:r>
              <w:t xml:space="preserve"> |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123B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6D384" w14:textId="77777777" w:rsidR="005E530E" w:rsidRDefault="005E530E" w:rsidP="00241AF4">
      <w:pPr>
        <w:spacing w:after="0"/>
      </w:pPr>
      <w:r>
        <w:separator/>
      </w:r>
    </w:p>
  </w:footnote>
  <w:footnote w:type="continuationSeparator" w:id="0">
    <w:p w14:paraId="7A20633C" w14:textId="77777777" w:rsidR="005E530E" w:rsidRDefault="005E530E" w:rsidP="00241AF4">
      <w:pPr>
        <w:spacing w:after="0"/>
      </w:pPr>
      <w:r>
        <w:continuationSeparator/>
      </w:r>
    </w:p>
  </w:footnote>
  <w:footnote w:id="1">
    <w:p w14:paraId="21C85F4C" w14:textId="05313A50" w:rsidR="00270E7B" w:rsidRDefault="00270E7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65C9">
        <w:rPr>
          <w:rFonts w:ascii="Segoe UI Semilight" w:hAnsi="Segoe UI Semilight" w:cs="Segoe UI Semilight"/>
          <w:sz w:val="18"/>
          <w:szCs w:val="18"/>
        </w:rPr>
        <w:t>Rozdelené a zostavené na základe metodiky OSN k </w:t>
      </w:r>
      <w:r w:rsidRPr="00582758">
        <w:rPr>
          <w:rFonts w:ascii="Segoe UI Semilight" w:hAnsi="Segoe UI Semilight" w:cs="Segoe UI Semilight"/>
          <w:sz w:val="18"/>
          <w:szCs w:val="18"/>
        </w:rPr>
        <w:t>cieľ</w:t>
      </w:r>
      <w:r>
        <w:rPr>
          <w:rFonts w:ascii="Segoe UI Semilight" w:hAnsi="Segoe UI Semilight" w:cs="Segoe UI Semilight"/>
          <w:sz w:val="18"/>
          <w:szCs w:val="18"/>
        </w:rPr>
        <w:t>om</w:t>
      </w:r>
      <w:r w:rsidRPr="00582758">
        <w:rPr>
          <w:rFonts w:ascii="Segoe UI Semilight" w:hAnsi="Segoe UI Semilight" w:cs="Segoe UI Semilight"/>
          <w:sz w:val="18"/>
          <w:szCs w:val="18"/>
        </w:rPr>
        <w:t xml:space="preserve"> udržateľného rozvoja </w:t>
      </w:r>
      <w:r>
        <w:rPr>
          <w:rFonts w:ascii="Segoe UI Semilight" w:hAnsi="Segoe UI Semilight" w:cs="Segoe UI Semilight"/>
          <w:sz w:val="18"/>
          <w:szCs w:val="18"/>
        </w:rPr>
        <w:t>(</w:t>
      </w:r>
      <w:proofErr w:type="spellStart"/>
      <w:r w:rsidRPr="004765C9">
        <w:rPr>
          <w:rFonts w:ascii="Segoe UI Semilight" w:hAnsi="Segoe UI Semilight" w:cs="Segoe UI Semilight"/>
          <w:sz w:val="18"/>
          <w:szCs w:val="18"/>
        </w:rPr>
        <w:t>SDG</w:t>
      </w:r>
      <w:r>
        <w:rPr>
          <w:rFonts w:ascii="Segoe UI Semilight" w:hAnsi="Segoe UI Semilight" w:cs="Segoe UI Semilight"/>
          <w:sz w:val="18"/>
          <w:szCs w:val="18"/>
        </w:rPr>
        <w:t>s</w:t>
      </w:r>
      <w:proofErr w:type="spellEnd"/>
      <w:r>
        <w:rPr>
          <w:rFonts w:ascii="Segoe UI Semilight" w:hAnsi="Segoe UI Semilight" w:cs="Segoe UI Semilight"/>
          <w:sz w:val="18"/>
          <w:szCs w:val="18"/>
        </w:rPr>
        <w:t>),</w:t>
      </w:r>
      <w:r w:rsidRPr="004765C9">
        <w:rPr>
          <w:rFonts w:ascii="Segoe UI Semilight" w:hAnsi="Segoe UI Semilight" w:cs="Segoe UI Semilight"/>
          <w:sz w:val="18"/>
          <w:szCs w:val="18"/>
        </w:rPr>
        <w:t xml:space="preserve"> indikátoru 12.c.1.</w:t>
      </w:r>
    </w:p>
  </w:footnote>
  <w:footnote w:id="2">
    <w:p w14:paraId="11A2B47F" w14:textId="0B03BBE2" w:rsidR="00270E7B" w:rsidRPr="00D608E8" w:rsidRDefault="00270E7B">
      <w:pPr>
        <w:pStyle w:val="Textpoznmkypodiarou"/>
        <w:rPr>
          <w:rFonts w:ascii="Segoe UI Semilight" w:hAnsi="Segoe UI Semilight" w:cs="Segoe UI Semilight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="009E32FF" w:rsidRPr="009E32FF">
        <w:rPr>
          <w:rFonts w:ascii="Segoe UI Semilight" w:hAnsi="Segoe UI Semilight" w:cs="Segoe UI Semilight"/>
          <w:sz w:val="18"/>
          <w:szCs w:val="18"/>
        </w:rPr>
        <w:t>Measuring</w:t>
      </w:r>
      <w:proofErr w:type="spellEnd"/>
      <w:r w:rsidR="009E32FF" w:rsidRPr="009E32FF">
        <w:rPr>
          <w:rFonts w:ascii="Segoe UI Semilight" w:hAnsi="Segoe UI Semilight" w:cs="Segoe UI Semilight"/>
          <w:sz w:val="18"/>
          <w:szCs w:val="18"/>
        </w:rPr>
        <w:t xml:space="preserve"> </w:t>
      </w:r>
      <w:proofErr w:type="spellStart"/>
      <w:r w:rsidR="009E32FF" w:rsidRPr="009E32FF">
        <w:rPr>
          <w:rFonts w:ascii="Segoe UI Semilight" w:hAnsi="Segoe UI Semilight" w:cs="Segoe UI Semilight"/>
          <w:sz w:val="18"/>
          <w:szCs w:val="18"/>
        </w:rPr>
        <w:t>fossil</w:t>
      </w:r>
      <w:proofErr w:type="spellEnd"/>
      <w:r w:rsidR="009E32FF" w:rsidRPr="009E32FF">
        <w:rPr>
          <w:rFonts w:ascii="Segoe UI Semilight" w:hAnsi="Segoe UI Semilight" w:cs="Segoe UI Semilight"/>
          <w:sz w:val="18"/>
          <w:szCs w:val="18"/>
        </w:rPr>
        <w:t xml:space="preserve"> </w:t>
      </w:r>
      <w:proofErr w:type="spellStart"/>
      <w:r w:rsidR="009E32FF" w:rsidRPr="009E32FF">
        <w:rPr>
          <w:rFonts w:ascii="Segoe UI Semilight" w:hAnsi="Segoe UI Semilight" w:cs="Segoe UI Semilight"/>
          <w:sz w:val="18"/>
          <w:szCs w:val="18"/>
        </w:rPr>
        <w:t>fuel</w:t>
      </w:r>
      <w:proofErr w:type="spellEnd"/>
      <w:r w:rsidR="009E32FF" w:rsidRPr="009E32FF">
        <w:rPr>
          <w:rFonts w:ascii="Segoe UI Semilight" w:hAnsi="Segoe UI Semilight" w:cs="Segoe UI Semilight"/>
          <w:sz w:val="18"/>
          <w:szCs w:val="18"/>
        </w:rPr>
        <w:t xml:space="preserve"> </w:t>
      </w:r>
      <w:proofErr w:type="spellStart"/>
      <w:r w:rsidR="009E32FF" w:rsidRPr="009E32FF">
        <w:rPr>
          <w:rFonts w:ascii="Segoe UI Semilight" w:hAnsi="Segoe UI Semilight" w:cs="Segoe UI Semilight"/>
          <w:sz w:val="18"/>
          <w:szCs w:val="18"/>
        </w:rPr>
        <w:t>subsidies</w:t>
      </w:r>
      <w:proofErr w:type="spellEnd"/>
      <w:r w:rsidR="009E32FF" w:rsidRPr="009E32FF">
        <w:rPr>
          <w:rFonts w:ascii="Segoe UI Semilight" w:hAnsi="Segoe UI Semilight" w:cs="Segoe UI Semilight"/>
          <w:sz w:val="18"/>
          <w:szCs w:val="18"/>
        </w:rPr>
        <w:t xml:space="preserve"> in </w:t>
      </w:r>
      <w:proofErr w:type="spellStart"/>
      <w:r w:rsidR="009E32FF" w:rsidRPr="009E32FF">
        <w:rPr>
          <w:rFonts w:ascii="Segoe UI Semilight" w:hAnsi="Segoe UI Semilight" w:cs="Segoe UI Semilight"/>
          <w:sz w:val="18"/>
          <w:szCs w:val="18"/>
        </w:rPr>
        <w:t>the</w:t>
      </w:r>
      <w:proofErr w:type="spellEnd"/>
      <w:r w:rsidR="009E32FF" w:rsidRPr="009E32FF">
        <w:rPr>
          <w:rFonts w:ascii="Segoe UI Semilight" w:hAnsi="Segoe UI Semilight" w:cs="Segoe UI Semilight"/>
          <w:sz w:val="18"/>
          <w:szCs w:val="18"/>
        </w:rPr>
        <w:t xml:space="preserve"> </w:t>
      </w:r>
      <w:proofErr w:type="spellStart"/>
      <w:r w:rsidR="009E32FF" w:rsidRPr="009E32FF">
        <w:rPr>
          <w:rFonts w:ascii="Segoe UI Semilight" w:hAnsi="Segoe UI Semilight" w:cs="Segoe UI Semilight"/>
          <w:sz w:val="18"/>
          <w:szCs w:val="18"/>
        </w:rPr>
        <w:t>context</w:t>
      </w:r>
      <w:proofErr w:type="spellEnd"/>
      <w:r w:rsidR="009E32FF" w:rsidRPr="009E32FF">
        <w:rPr>
          <w:rFonts w:ascii="Segoe UI Semilight" w:hAnsi="Segoe UI Semilight" w:cs="Segoe UI Semilight"/>
          <w:sz w:val="18"/>
          <w:szCs w:val="18"/>
        </w:rPr>
        <w:t xml:space="preserve"> of </w:t>
      </w:r>
      <w:proofErr w:type="spellStart"/>
      <w:r w:rsidR="009E32FF" w:rsidRPr="009E32FF">
        <w:rPr>
          <w:rFonts w:ascii="Segoe UI Semilight" w:hAnsi="Segoe UI Semilight" w:cs="Segoe UI Semilight"/>
          <w:sz w:val="18"/>
          <w:szCs w:val="18"/>
        </w:rPr>
        <w:t>the</w:t>
      </w:r>
      <w:proofErr w:type="spellEnd"/>
      <w:r w:rsidR="009E32FF" w:rsidRPr="009E32FF">
        <w:rPr>
          <w:rFonts w:ascii="Segoe UI Semilight" w:hAnsi="Segoe UI Semilight" w:cs="Segoe UI Semilight"/>
          <w:sz w:val="18"/>
          <w:szCs w:val="18"/>
        </w:rPr>
        <w:t xml:space="preserve"> </w:t>
      </w:r>
      <w:proofErr w:type="spellStart"/>
      <w:r w:rsidR="009E32FF" w:rsidRPr="009E32FF">
        <w:rPr>
          <w:rFonts w:ascii="Segoe UI Semilight" w:hAnsi="Segoe UI Semilight" w:cs="Segoe UI Semilight"/>
          <w:sz w:val="18"/>
          <w:szCs w:val="18"/>
        </w:rPr>
        <w:t>sustainable</w:t>
      </w:r>
      <w:proofErr w:type="spellEnd"/>
      <w:r w:rsidR="009E32FF" w:rsidRPr="009E32FF">
        <w:rPr>
          <w:rFonts w:ascii="Segoe UI Semilight" w:hAnsi="Segoe UI Semilight" w:cs="Segoe UI Semilight"/>
          <w:sz w:val="18"/>
          <w:szCs w:val="18"/>
        </w:rPr>
        <w:t xml:space="preserve"> </w:t>
      </w:r>
      <w:proofErr w:type="spellStart"/>
      <w:r w:rsidR="009E32FF" w:rsidRPr="009E32FF">
        <w:rPr>
          <w:rFonts w:ascii="Segoe UI Semilight" w:hAnsi="Segoe UI Semilight" w:cs="Segoe UI Semilight"/>
          <w:sz w:val="18"/>
          <w:szCs w:val="18"/>
        </w:rPr>
        <w:t>development</w:t>
      </w:r>
      <w:proofErr w:type="spellEnd"/>
      <w:r w:rsidR="009E32FF" w:rsidRPr="009E32FF">
        <w:rPr>
          <w:rFonts w:ascii="Segoe UI Semilight" w:hAnsi="Segoe UI Semilight" w:cs="Segoe UI Semilight"/>
          <w:sz w:val="18"/>
          <w:szCs w:val="18"/>
        </w:rPr>
        <w:t xml:space="preserve"> </w:t>
      </w:r>
      <w:proofErr w:type="spellStart"/>
      <w:r w:rsidR="009E32FF" w:rsidRPr="009E32FF">
        <w:rPr>
          <w:rFonts w:ascii="Segoe UI Semilight" w:hAnsi="Segoe UI Semilight" w:cs="Segoe UI Semilight"/>
          <w:sz w:val="18"/>
          <w:szCs w:val="18"/>
        </w:rPr>
        <w:t>Goals</w:t>
      </w:r>
      <w:proofErr w:type="spellEnd"/>
      <w:r w:rsidR="009E32FF">
        <w:rPr>
          <w:rFonts w:ascii="Segoe UI Semilight" w:hAnsi="Segoe UI Semilight" w:cs="Segoe UI Semilight"/>
          <w:sz w:val="18"/>
          <w:szCs w:val="18"/>
        </w:rPr>
        <w:t>,</w:t>
      </w:r>
      <w:r w:rsidR="009E32FF" w:rsidRPr="009E32FF">
        <w:rPr>
          <w:rFonts w:ascii="Segoe UI Semilight" w:hAnsi="Segoe UI Semilight" w:cs="Segoe UI Semilight"/>
          <w:sz w:val="18"/>
          <w:szCs w:val="18"/>
        </w:rPr>
        <w:t xml:space="preserve"> dostupné na:</w:t>
      </w:r>
      <w:r w:rsidR="009E32FF">
        <w:t xml:space="preserve"> </w:t>
      </w:r>
      <w:hyperlink r:id="rId1" w:history="1">
        <w:r w:rsidR="009E32FF" w:rsidRPr="009E32FF">
          <w:rPr>
            <w:rStyle w:val="Hypertextovprepojenie"/>
            <w:rFonts w:ascii="Segoe UI Semilight" w:hAnsi="Segoe UI Semilight" w:cs="Segoe UI Semilight"/>
            <w:sz w:val="18"/>
          </w:rPr>
          <w:t>FossilFuel.pdf (unep.org)</w:t>
        </w:r>
      </w:hyperlink>
    </w:p>
  </w:footnote>
  <w:footnote w:id="3">
    <w:p w14:paraId="34202EBC" w14:textId="2930822F" w:rsidR="00270E7B" w:rsidRDefault="00270E7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0546D7">
        <w:rPr>
          <w:rFonts w:ascii="Segoe UI Semilight" w:hAnsi="Segoe UI Semilight" w:cs="Segoe UI Semilight"/>
          <w:sz w:val="18"/>
          <w:szCs w:val="18"/>
        </w:rPr>
        <w:t>Podrobnejšie rozdelenie identifikovaných dotácií vrátane ich výšky a zdroja čerpania údajov je možné nájsť</w:t>
      </w:r>
      <w:r>
        <w:rPr>
          <w:rFonts w:ascii="Segoe UI Semilight" w:hAnsi="Segoe UI Semilight" w:cs="Segoe UI Semilight"/>
          <w:sz w:val="18"/>
          <w:szCs w:val="18"/>
        </w:rPr>
        <w:t xml:space="preserve"> v prílohe</w:t>
      </w:r>
      <w:r w:rsidR="00CC1D06">
        <w:rPr>
          <w:rFonts w:ascii="Segoe UI Semilight" w:hAnsi="Segoe UI Semilight" w:cs="Segoe UI Semilight"/>
          <w:sz w:val="18"/>
          <w:szCs w:val="18"/>
        </w:rPr>
        <w:t xml:space="preserve"> č. 2 na strane 16</w:t>
      </w:r>
      <w:r>
        <w:rPr>
          <w:rFonts w:ascii="Segoe UI Semilight" w:hAnsi="Segoe UI Semilight" w:cs="Segoe UI Semilight"/>
          <w:sz w:val="18"/>
          <w:szCs w:val="18"/>
        </w:rPr>
        <w:t>.</w:t>
      </w:r>
    </w:p>
  </w:footnote>
  <w:footnote w:id="4">
    <w:p w14:paraId="6D7CC712" w14:textId="2E7225B1" w:rsidR="00270E7B" w:rsidRDefault="00270E7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02382F">
        <w:rPr>
          <w:rFonts w:ascii="Segoe UI Semilight" w:hAnsi="Segoe UI Semilight" w:cs="Segoe UI Semilight"/>
          <w:sz w:val="18"/>
          <w:szCs w:val="18"/>
        </w:rPr>
        <w:t>Uvedené hodnoty bez nepriamych dotácií, ktoré n</w:t>
      </w:r>
      <w:r>
        <w:rPr>
          <w:rFonts w:ascii="Segoe UI Semilight" w:hAnsi="Segoe UI Semilight" w:cs="Segoe UI Semilight"/>
          <w:sz w:val="18"/>
          <w:szCs w:val="18"/>
        </w:rPr>
        <w:t>emajú vplyv</w:t>
      </w:r>
      <w:r w:rsidRPr="0002382F">
        <w:rPr>
          <w:rFonts w:ascii="Segoe UI Semilight" w:hAnsi="Segoe UI Semilight" w:cs="Segoe UI Semilight"/>
          <w:sz w:val="18"/>
          <w:szCs w:val="18"/>
        </w:rPr>
        <w:t xml:space="preserve"> na štátny rozpočet.</w:t>
      </w:r>
    </w:p>
  </w:footnote>
  <w:footnote w:id="5">
    <w:p w14:paraId="3F36F3D2" w14:textId="397FB328" w:rsidR="00270E7B" w:rsidRPr="00CC3250" w:rsidRDefault="00270E7B" w:rsidP="00B322AB">
      <w:pPr>
        <w:pStyle w:val="Textpoznmkypodiarou"/>
        <w:rPr>
          <w:rFonts w:ascii="Segoe UI Semilight" w:hAnsi="Segoe UI Semilight" w:cs="Segoe UI Semilight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CC3250">
        <w:rPr>
          <w:rFonts w:ascii="Segoe UI Semilight" w:hAnsi="Segoe UI Semilight" w:cs="Segoe UI Semilight"/>
          <w:sz w:val="18"/>
          <w:szCs w:val="18"/>
        </w:rPr>
        <w:t>Cieľom</w:t>
      </w:r>
      <w:r>
        <w:t xml:space="preserve"> </w:t>
      </w:r>
      <w:r w:rsidRPr="00CC3250">
        <w:rPr>
          <w:rFonts w:ascii="Segoe UI Semilight" w:hAnsi="Segoe UI Semilight" w:cs="Segoe UI Semilight"/>
          <w:sz w:val="18"/>
          <w:szCs w:val="18"/>
        </w:rPr>
        <w:t>štátnej pomoci je zaist</w:t>
      </w:r>
      <w:r>
        <w:rPr>
          <w:rFonts w:ascii="Segoe UI Semilight" w:hAnsi="Segoe UI Semilight" w:cs="Segoe UI Semilight"/>
          <w:sz w:val="18"/>
          <w:szCs w:val="18"/>
        </w:rPr>
        <w:t>iť</w:t>
      </w:r>
      <w:r w:rsidRPr="00CC3250">
        <w:rPr>
          <w:rFonts w:ascii="Segoe UI Semilight" w:hAnsi="Segoe UI Semilight" w:cs="Segoe UI Semilight"/>
          <w:sz w:val="18"/>
          <w:szCs w:val="18"/>
        </w:rPr>
        <w:t xml:space="preserve"> bezpečnos</w:t>
      </w:r>
      <w:r>
        <w:rPr>
          <w:rFonts w:ascii="Segoe UI Semilight" w:hAnsi="Segoe UI Semilight" w:cs="Segoe UI Semilight"/>
          <w:sz w:val="18"/>
          <w:szCs w:val="18"/>
        </w:rPr>
        <w:t>ť</w:t>
      </w:r>
      <w:r w:rsidRPr="00CC3250">
        <w:rPr>
          <w:rFonts w:ascii="Segoe UI Semilight" w:hAnsi="Segoe UI Semilight" w:cs="Segoe UI Semilight"/>
          <w:sz w:val="18"/>
          <w:szCs w:val="18"/>
        </w:rPr>
        <w:t xml:space="preserve"> a spoľahlivos</w:t>
      </w:r>
      <w:r>
        <w:rPr>
          <w:rFonts w:ascii="Segoe UI Semilight" w:hAnsi="Segoe UI Semilight" w:cs="Segoe UI Semilight"/>
          <w:sz w:val="18"/>
          <w:szCs w:val="18"/>
        </w:rPr>
        <w:t>ť</w:t>
      </w:r>
      <w:r w:rsidRPr="00CC3250">
        <w:rPr>
          <w:rFonts w:ascii="Segoe UI Semilight" w:hAnsi="Segoe UI Semilight" w:cs="Segoe UI Semilight"/>
          <w:sz w:val="18"/>
          <w:szCs w:val="18"/>
        </w:rPr>
        <w:t xml:space="preserve"> elektrizačnej sústavy s ukončením po</w:t>
      </w:r>
      <w:r w:rsidR="00FA6B93">
        <w:rPr>
          <w:rFonts w:ascii="Segoe UI Semilight" w:hAnsi="Segoe UI Semilight" w:cs="Segoe UI Semilight"/>
          <w:sz w:val="18"/>
          <w:szCs w:val="18"/>
        </w:rPr>
        <w:t>skytovania do konca roka 2023. Dotácie smerujú preto Slovenským elektrárňam, ktoré na základe VHZ nakupujú uhlie výlučne od Hor</w:t>
      </w:r>
      <w:r w:rsidR="00F8716A">
        <w:rPr>
          <w:rFonts w:ascii="Segoe UI Semilight" w:hAnsi="Segoe UI Semilight" w:cs="Segoe UI Semilight"/>
          <w:sz w:val="18"/>
          <w:szCs w:val="18"/>
        </w:rPr>
        <w:t>nonitrianskych baní Prievidza (zabezpečujúc prevádzku elektrárni Nováky (ENO)).</w:t>
      </w:r>
    </w:p>
  </w:footnote>
  <w:footnote w:id="6">
    <w:p w14:paraId="3A349B01" w14:textId="77777777" w:rsidR="00270E7B" w:rsidRPr="00CC3250" w:rsidRDefault="00270E7B" w:rsidP="00B322AB">
      <w:pPr>
        <w:pStyle w:val="Textpoznmkypodiarou"/>
        <w:rPr>
          <w:rFonts w:ascii="Segoe UI Semilight" w:hAnsi="Segoe UI Semilight" w:cs="Segoe UI Semilight"/>
          <w:sz w:val="18"/>
          <w:szCs w:val="18"/>
        </w:rPr>
      </w:pPr>
      <w:r w:rsidRPr="00B322AB">
        <w:rPr>
          <w:rStyle w:val="Odkaznapoznmkupodiarou"/>
        </w:rPr>
        <w:footnoteRef/>
      </w:r>
      <w:r w:rsidRPr="00B322AB">
        <w:t xml:space="preserve"> </w:t>
      </w:r>
      <w:r w:rsidRPr="00CC3250">
        <w:rPr>
          <w:rFonts w:ascii="Segoe UI Semilight" w:hAnsi="Segoe UI Semilight" w:cs="Segoe UI Semilight"/>
          <w:sz w:val="18"/>
          <w:szCs w:val="18"/>
        </w:rPr>
        <w:t>Kompenzačný mechanizmus: Doplatok = Oprávnené náklady (variabilné a fixné) + Primeraný zisk – Neoprávnene náklady – Výnosy + Korekcie z predchádzajúcich rokov</w:t>
      </w:r>
    </w:p>
  </w:footnote>
  <w:footnote w:id="7">
    <w:p w14:paraId="0F2B356E" w14:textId="27FD59A2" w:rsidR="00270E7B" w:rsidRDefault="00270E7B" w:rsidP="00B322A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CC3250">
        <w:rPr>
          <w:rFonts w:ascii="Segoe UI Semilight" w:hAnsi="Segoe UI Semilight" w:cs="Segoe UI Semilight"/>
          <w:sz w:val="18"/>
          <w:szCs w:val="18"/>
        </w:rPr>
        <w:t>Na základe zákona č. 309/2009 Z. z</w:t>
      </w:r>
      <w:r>
        <w:rPr>
          <w:rFonts w:ascii="Segoe UI Semilight" w:hAnsi="Segoe UI Semilight" w:cs="Segoe UI Semilight"/>
          <w:sz w:val="18"/>
          <w:szCs w:val="18"/>
        </w:rPr>
        <w:t>.</w:t>
      </w:r>
      <w:r w:rsidRPr="00CC3250">
        <w:rPr>
          <w:rFonts w:ascii="Segoe UI Semilight" w:hAnsi="Segoe UI Semilight" w:cs="Segoe UI Semilight"/>
          <w:sz w:val="18"/>
          <w:szCs w:val="18"/>
        </w:rPr>
        <w:t xml:space="preserve"> o podpore </w:t>
      </w:r>
      <w:r w:rsidRPr="00582758">
        <w:rPr>
          <w:rFonts w:ascii="Segoe UI Semilight" w:hAnsi="Segoe UI Semilight" w:cs="Segoe UI Semilight"/>
          <w:sz w:val="18"/>
          <w:szCs w:val="18"/>
        </w:rPr>
        <w:t>o podpore obnoviteľných zdrojov energie a vysoko účinnej kombinovanej výroby a o zmene a doplnení niektorých zákonov</w:t>
      </w:r>
      <w:r w:rsidR="009E32FF">
        <w:rPr>
          <w:rFonts w:ascii="Segoe UI Semilight" w:hAnsi="Segoe UI Semilight" w:cs="Segoe UI Semilight"/>
          <w:sz w:val="18"/>
          <w:szCs w:val="18"/>
        </w:rPr>
        <w:t>, d</w:t>
      </w:r>
      <w:r w:rsidRPr="00CC3250">
        <w:rPr>
          <w:rFonts w:ascii="Segoe UI Semilight" w:hAnsi="Segoe UI Semilight" w:cs="Segoe UI Semilight"/>
          <w:sz w:val="18"/>
          <w:szCs w:val="18"/>
        </w:rPr>
        <w:t>ostupné na:</w:t>
      </w:r>
      <w:r>
        <w:t xml:space="preserve"> </w:t>
      </w:r>
      <w:hyperlink r:id="rId2" w:history="1">
        <w:r w:rsidRPr="00D608E8">
          <w:rPr>
            <w:rStyle w:val="Hypertextovprepojenie"/>
            <w:rFonts w:ascii="Segoe UI Semilight" w:hAnsi="Segoe UI Semilight" w:cs="Segoe UI Semilight"/>
            <w:sz w:val="18"/>
            <w:szCs w:val="18"/>
          </w:rPr>
          <w:t>309/2009 Z.</w:t>
        </w:r>
        <w:r>
          <w:rPr>
            <w:rStyle w:val="Hypertextovprepojenie"/>
            <w:rFonts w:ascii="Segoe UI Semilight" w:hAnsi="Segoe UI Semilight" w:cs="Segoe UI Semilight"/>
            <w:sz w:val="18"/>
            <w:szCs w:val="18"/>
          </w:rPr>
          <w:t xml:space="preserve"> </w:t>
        </w:r>
        <w:r w:rsidRPr="00D608E8">
          <w:rPr>
            <w:rStyle w:val="Hypertextovprepojenie"/>
            <w:rFonts w:ascii="Segoe UI Semilight" w:hAnsi="Segoe UI Semilight" w:cs="Segoe UI Semilight"/>
            <w:sz w:val="18"/>
            <w:szCs w:val="18"/>
          </w:rPr>
          <w:t>z. - Zákon o podpore obnoviteľných zdroj... - SLOV-LEX</w:t>
        </w:r>
      </w:hyperlink>
    </w:p>
  </w:footnote>
  <w:footnote w:id="8">
    <w:p w14:paraId="07AD7C0E" w14:textId="7D803F86" w:rsidR="00270E7B" w:rsidRDefault="00270E7B" w:rsidP="00B322A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CC3250">
        <w:rPr>
          <w:rFonts w:ascii="Segoe UI Semilight" w:hAnsi="Segoe UI Semilight" w:cs="Segoe UI Semilight"/>
          <w:sz w:val="18"/>
          <w:szCs w:val="18"/>
        </w:rPr>
        <w:t xml:space="preserve">Priemerný jednotkový doplatok vyrátaný ako podiel celkovej výšky doplatku za rok na množstve elektriny na doplatok v roku. Rok 2021 </w:t>
      </w:r>
      <w:r>
        <w:rPr>
          <w:rFonts w:ascii="Segoe UI Semilight" w:hAnsi="Segoe UI Semilight" w:cs="Segoe UI Semilight"/>
          <w:sz w:val="18"/>
          <w:szCs w:val="18"/>
        </w:rPr>
        <w:t xml:space="preserve">je z výpočtu </w:t>
      </w:r>
      <w:r w:rsidRPr="00CC3250">
        <w:rPr>
          <w:rFonts w:ascii="Segoe UI Semilight" w:hAnsi="Segoe UI Semilight" w:cs="Segoe UI Semilight"/>
          <w:sz w:val="18"/>
          <w:szCs w:val="18"/>
        </w:rPr>
        <w:t>vynechaný kvôli extrémnej hodnote.</w:t>
      </w:r>
    </w:p>
  </w:footnote>
  <w:footnote w:id="9">
    <w:p w14:paraId="257CD651" w14:textId="494882D1" w:rsidR="00270E7B" w:rsidRDefault="00270E7B" w:rsidP="00B322AB">
      <w:pPr>
        <w:pStyle w:val="Textpoznmkypodiarou"/>
      </w:pPr>
      <w:r>
        <w:rPr>
          <w:rStyle w:val="Odkaznapoznmkupodiarou"/>
        </w:rPr>
        <w:footnoteRef/>
      </w:r>
      <w:r w:rsidRPr="00D608E8">
        <w:rPr>
          <w:rFonts w:ascii="Segoe UI Semilight" w:hAnsi="Segoe UI Semilight" w:cs="Segoe UI Semilight"/>
          <w:sz w:val="18"/>
          <w:szCs w:val="18"/>
        </w:rPr>
        <w:t xml:space="preserve"> </w:t>
      </w:r>
      <w:r w:rsidR="009E32FF">
        <w:rPr>
          <w:rFonts w:ascii="Segoe UI Semilight" w:hAnsi="Segoe UI Semilight" w:cs="Segoe UI Semilight"/>
          <w:sz w:val="18"/>
          <w:szCs w:val="18"/>
        </w:rPr>
        <w:t xml:space="preserve">Legislatívne znenie schémy štátnej pomoci pre podniky v odvetviach a pododvetviach, v prípade ktorých sa predpokladá značné riziko úniku uhlíka v súvislosti s premietnutím nákladov emisných kvót v rámci EU ETS do cien elektrickej energie dostupné na </w:t>
      </w:r>
      <w:hyperlink r:id="rId3" w:history="1">
        <w:r w:rsidR="009E32FF" w:rsidRPr="009E32FF">
          <w:rPr>
            <w:rStyle w:val="Hypertextovprepojenie"/>
            <w:rFonts w:ascii="Segoe UI Semilight" w:hAnsi="Segoe UI Semilight" w:cs="Segoe UI Semilight"/>
            <w:sz w:val="18"/>
          </w:rPr>
          <w:t>Kompenzácie - Environmentálny Fond (envirofond.sk)</w:t>
        </w:r>
      </w:hyperlink>
    </w:p>
  </w:footnote>
  <w:footnote w:id="10">
    <w:p w14:paraId="4136A1DD" w14:textId="2E7250CF" w:rsidR="00270E7B" w:rsidRPr="00CC3250" w:rsidRDefault="00270E7B" w:rsidP="00B322AB">
      <w:pPr>
        <w:pStyle w:val="Textpoznmkypodiarou"/>
        <w:rPr>
          <w:rFonts w:ascii="Segoe UI Semilight" w:hAnsi="Segoe UI Semilight" w:cs="Segoe UI Semilight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CC3250">
        <w:rPr>
          <w:rFonts w:ascii="Segoe UI Semilight" w:hAnsi="Segoe UI Semilight" w:cs="Segoe UI Semilight"/>
          <w:sz w:val="18"/>
          <w:szCs w:val="18"/>
        </w:rPr>
        <w:t>Vyhláška č. 74/2016 Z.</w:t>
      </w:r>
      <w:r>
        <w:rPr>
          <w:rFonts w:ascii="Segoe UI Semilight" w:hAnsi="Segoe UI Semilight" w:cs="Segoe UI Semilight"/>
          <w:sz w:val="18"/>
          <w:szCs w:val="18"/>
        </w:rPr>
        <w:t xml:space="preserve"> </w:t>
      </w:r>
      <w:r w:rsidRPr="00CC3250">
        <w:rPr>
          <w:rFonts w:ascii="Segoe UI Semilight" w:hAnsi="Segoe UI Semilight" w:cs="Segoe UI Semilight"/>
          <w:sz w:val="18"/>
          <w:szCs w:val="18"/>
        </w:rPr>
        <w:t>z. ktorou sa ustanovuje spôsob poskytnutia a výška štátneho príspevku odberateľovi plynu v domácnosti, na základe § 9 ods. 1 zákona č. 411/2015 Z. z. o štátnom rozpočte na rok 2016</w:t>
      </w:r>
      <w:r w:rsidR="009E32FF">
        <w:rPr>
          <w:rFonts w:ascii="Segoe UI Semilight" w:hAnsi="Segoe UI Semilight" w:cs="Segoe UI Semilight"/>
          <w:sz w:val="18"/>
          <w:szCs w:val="18"/>
        </w:rPr>
        <w:t>.</w:t>
      </w:r>
    </w:p>
  </w:footnote>
  <w:footnote w:id="11">
    <w:p w14:paraId="52D98460" w14:textId="3A1EADD0" w:rsidR="00270E7B" w:rsidRPr="00270E7B" w:rsidRDefault="00270E7B">
      <w:pPr>
        <w:pStyle w:val="Textpoznmkypodiarou"/>
        <w:rPr>
          <w:rFonts w:ascii="Segoe UI Semilight" w:hAnsi="Segoe UI Semilight" w:cs="Segoe UI Semilight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270E7B">
        <w:rPr>
          <w:rFonts w:ascii="Segoe UI Semilight" w:hAnsi="Segoe UI Semilight" w:cs="Segoe UI Semilight"/>
          <w:sz w:val="18"/>
          <w:szCs w:val="18"/>
        </w:rPr>
        <w:t xml:space="preserve">Metodologicky bola celá suma </w:t>
      </w:r>
      <w:proofErr w:type="spellStart"/>
      <w:r w:rsidRPr="00270E7B">
        <w:rPr>
          <w:rFonts w:ascii="Segoe UI Semilight" w:hAnsi="Segoe UI Semilight" w:cs="Segoe UI Semilight"/>
          <w:sz w:val="18"/>
          <w:szCs w:val="18"/>
        </w:rPr>
        <w:t>vratkov</w:t>
      </w:r>
      <w:proofErr w:type="spellEnd"/>
      <w:r w:rsidRPr="00270E7B">
        <w:rPr>
          <w:rFonts w:ascii="Segoe UI Semilight" w:hAnsi="Segoe UI Semilight" w:cs="Segoe UI Semilight"/>
          <w:sz w:val="18"/>
          <w:szCs w:val="18"/>
        </w:rPr>
        <w:t xml:space="preserve"> za plyn (48 mil. eur) priradená roku kedy bola uvoľnená- rok 2015.</w:t>
      </w:r>
    </w:p>
  </w:footnote>
  <w:footnote w:id="12">
    <w:p w14:paraId="0DD01089" w14:textId="01663D94" w:rsidR="00270E7B" w:rsidRDefault="00270E7B" w:rsidP="00B322A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CC3250">
        <w:rPr>
          <w:rFonts w:ascii="Segoe UI Semilight" w:hAnsi="Segoe UI Semilight" w:cs="Segoe UI Semilight"/>
          <w:sz w:val="18"/>
          <w:szCs w:val="18"/>
        </w:rPr>
        <w:t>N</w:t>
      </w:r>
      <w:r>
        <w:rPr>
          <w:rFonts w:ascii="Segoe UI Semilight" w:hAnsi="Segoe UI Semilight" w:cs="Segoe UI Semilight"/>
          <w:sz w:val="18"/>
          <w:szCs w:val="18"/>
        </w:rPr>
        <w:t>a</w:t>
      </w:r>
      <w:r w:rsidRPr="00CC3250">
        <w:rPr>
          <w:rFonts w:ascii="Segoe UI Semilight" w:hAnsi="Segoe UI Semilight" w:cs="Segoe UI Semilight"/>
          <w:sz w:val="18"/>
          <w:szCs w:val="18"/>
        </w:rPr>
        <w:t xml:space="preserve"> základe zákona č. 609/2007 Z.</w:t>
      </w:r>
      <w:r>
        <w:rPr>
          <w:rFonts w:ascii="Segoe UI Semilight" w:hAnsi="Segoe UI Semilight" w:cs="Segoe UI Semilight"/>
          <w:sz w:val="18"/>
          <w:szCs w:val="18"/>
        </w:rPr>
        <w:t xml:space="preserve"> </w:t>
      </w:r>
      <w:r w:rsidRPr="00CC3250">
        <w:rPr>
          <w:rFonts w:ascii="Segoe UI Semilight" w:hAnsi="Segoe UI Semilight" w:cs="Segoe UI Semilight"/>
          <w:sz w:val="18"/>
          <w:szCs w:val="18"/>
        </w:rPr>
        <w:t>z. o spotrebnej dani z elektriny, uhlia a zemného plynu</w:t>
      </w:r>
      <w:r>
        <w:rPr>
          <w:rFonts w:ascii="Segoe UI Semilight" w:hAnsi="Segoe UI Semilight" w:cs="Segoe UI Semilight"/>
          <w:sz w:val="18"/>
          <w:szCs w:val="18"/>
        </w:rPr>
        <w:t xml:space="preserve"> </w:t>
      </w:r>
      <w:r w:rsidRPr="008F6563">
        <w:rPr>
          <w:rFonts w:ascii="Segoe UI Semilight" w:hAnsi="Segoe UI Semilight" w:cs="Segoe UI Semilight"/>
          <w:sz w:val="18"/>
          <w:szCs w:val="18"/>
        </w:rPr>
        <w:t>a o zmene a doplnení zákona č. 98/2004 Z. z. o spotrebnej dani z minerálneho oleja v znení neskorších predpisov,</w:t>
      </w:r>
      <w:r w:rsidRPr="00CC3250">
        <w:rPr>
          <w:rFonts w:ascii="Segoe UI Semilight" w:hAnsi="Segoe UI Semilight" w:cs="Segoe UI Semilight"/>
          <w:sz w:val="18"/>
          <w:szCs w:val="18"/>
        </w:rPr>
        <w:t xml:space="preserve"> dostupné na</w:t>
      </w:r>
      <w:r w:rsidRPr="00D608E8">
        <w:rPr>
          <w:rFonts w:ascii="Segoe UI Semilight" w:hAnsi="Segoe UI Semilight" w:cs="Segoe UI Semilight"/>
          <w:sz w:val="18"/>
          <w:szCs w:val="18"/>
        </w:rPr>
        <w:t xml:space="preserve">: </w:t>
      </w:r>
      <w:hyperlink r:id="rId4" w:history="1">
        <w:r w:rsidRPr="00D608E8">
          <w:rPr>
            <w:rStyle w:val="Hypertextovprepojenie"/>
            <w:rFonts w:ascii="Segoe UI Semilight" w:hAnsi="Segoe UI Semilight" w:cs="Segoe UI Semilight"/>
            <w:sz w:val="18"/>
            <w:szCs w:val="18"/>
          </w:rPr>
          <w:t>609/2007 Z.</w:t>
        </w:r>
        <w:r>
          <w:rPr>
            <w:rStyle w:val="Hypertextovprepojenie"/>
            <w:rFonts w:ascii="Segoe UI Semilight" w:hAnsi="Segoe UI Semilight" w:cs="Segoe UI Semilight"/>
            <w:sz w:val="18"/>
            <w:szCs w:val="18"/>
          </w:rPr>
          <w:t xml:space="preserve"> </w:t>
        </w:r>
        <w:r w:rsidRPr="00D608E8">
          <w:rPr>
            <w:rStyle w:val="Hypertextovprepojenie"/>
            <w:rFonts w:ascii="Segoe UI Semilight" w:hAnsi="Segoe UI Semilight" w:cs="Segoe UI Semilight"/>
            <w:sz w:val="18"/>
            <w:szCs w:val="18"/>
          </w:rPr>
          <w:t>z. - Zákon o spotrebnej dani z elektriny... - SLOV-LEX</w:t>
        </w:r>
      </w:hyperlink>
    </w:p>
  </w:footnote>
  <w:footnote w:id="13">
    <w:p w14:paraId="0588238F" w14:textId="6CDE10C6" w:rsidR="00270E7B" w:rsidRDefault="00270E7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CC3250">
        <w:rPr>
          <w:rFonts w:ascii="Segoe UI Semilight" w:hAnsi="Segoe UI Semilight" w:cs="Segoe UI Semilight"/>
          <w:sz w:val="18"/>
          <w:szCs w:val="18"/>
        </w:rPr>
        <w:t>Potenciálny ušlý zisk štátu sa vypočíta ako rozdiel medzi regulovanou cenou komodity a spotovou cenou na burze (prípadne na trhu) vynásobený celkov</w:t>
      </w:r>
      <w:r>
        <w:rPr>
          <w:rFonts w:ascii="Segoe UI Semilight" w:hAnsi="Segoe UI Semilight" w:cs="Segoe UI Semilight"/>
          <w:sz w:val="18"/>
          <w:szCs w:val="18"/>
        </w:rPr>
        <w:t>ý</w:t>
      </w:r>
      <w:r w:rsidRPr="00CC3250">
        <w:rPr>
          <w:rFonts w:ascii="Segoe UI Semilight" w:hAnsi="Segoe UI Semilight" w:cs="Segoe UI Semilight"/>
          <w:sz w:val="18"/>
          <w:szCs w:val="18"/>
        </w:rPr>
        <w:t>m odobratým množstvom komodity regulovanými subjektami</w:t>
      </w:r>
      <w:r>
        <w:rPr>
          <w:rFonts w:ascii="Segoe UI Semilight" w:hAnsi="Segoe UI Semilight" w:cs="Segoe UI Semilight"/>
          <w:sz w:val="18"/>
          <w:szCs w:val="18"/>
        </w:rPr>
        <w:t>.</w:t>
      </w:r>
    </w:p>
  </w:footnote>
  <w:footnote w:id="14">
    <w:p w14:paraId="06A91ED6" w14:textId="5FB23088" w:rsidR="004F30E9" w:rsidRDefault="004F30E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F30E9">
        <w:rPr>
          <w:rFonts w:ascii="Segoe UI Semilight" w:hAnsi="Segoe UI Semilight" w:cs="Segoe UI Semilight"/>
          <w:sz w:val="18"/>
          <w:szCs w:val="18"/>
        </w:rPr>
        <w:t>Pri krížových dotáciách sa na základe odporúčania metodiky OSN záporné dotácie zaratúvajú do celkovej podpory a znižujú tak celkový objem dotácií na fosílne palivá a taktiež podiel dotácií na HDP.</w:t>
      </w:r>
    </w:p>
  </w:footnote>
  <w:footnote w:id="15">
    <w:p w14:paraId="4DDE8687" w14:textId="7AAC6A1D" w:rsidR="00533BAC" w:rsidRDefault="00533BA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9B5984" w:rsidRPr="00425D01">
        <w:rPr>
          <w:rFonts w:ascii="Segoe UI Semilight" w:hAnsi="Segoe UI Semilight" w:cs="Segoe UI Semilight"/>
          <w:sz w:val="18"/>
        </w:rPr>
        <w:t>Na základe rozhodnutia Európskej komisie vo veci štátnej pomoci SA.50877 v bode 2.6. sa opatrenie skončí 31.decembra 2041. Slovensko sa však zaviazalo opätovnému notifikovaniu úľav z jadrového fondu najneskôr v roku 2028. Notifikácia môže priniesť predĺženie obdobia odvodov nie len pre zvýhodnené podniky ale taktiež pre všetky podniky odvádzajúce odvody do NJF</w:t>
      </w:r>
      <w:r w:rsidR="00D84058">
        <w:rPr>
          <w:rFonts w:ascii="Segoe UI Semilight" w:hAnsi="Segoe UI Semilight" w:cs="Segoe UI Semilight"/>
          <w:sz w:val="18"/>
        </w:rPr>
        <w:t>.</w:t>
      </w:r>
    </w:p>
  </w:footnote>
  <w:footnote w:id="16">
    <w:p w14:paraId="405745B9" w14:textId="30B45497" w:rsidR="00270E7B" w:rsidRPr="005C1B2B" w:rsidRDefault="00270E7B">
      <w:pPr>
        <w:pStyle w:val="Textpoznmkypodiarou"/>
        <w:rPr>
          <w:rFonts w:ascii="Segoe UI Semilight" w:hAnsi="Segoe UI Semilight" w:cs="Segoe UI Semilight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5C1B2B">
        <w:rPr>
          <w:rFonts w:ascii="Segoe UI Semilight" w:hAnsi="Segoe UI Semilight" w:cs="Segoe UI Semilight"/>
          <w:sz w:val="18"/>
          <w:szCs w:val="18"/>
        </w:rPr>
        <w:t>Duslo</w:t>
      </w:r>
      <w:r>
        <w:rPr>
          <w:rFonts w:ascii="Segoe UI Semilight" w:hAnsi="Segoe UI Semilight" w:cs="Segoe UI Semilight"/>
          <w:sz w:val="18"/>
          <w:szCs w:val="18"/>
        </w:rPr>
        <w:t xml:space="preserve">, </w:t>
      </w:r>
      <w:proofErr w:type="spellStart"/>
      <w:r>
        <w:rPr>
          <w:rFonts w:ascii="Segoe UI Semilight" w:hAnsi="Segoe UI Semilight" w:cs="Segoe UI Semilight"/>
          <w:sz w:val="18"/>
          <w:szCs w:val="18"/>
        </w:rPr>
        <w:t>a.s</w:t>
      </w:r>
      <w:proofErr w:type="spellEnd"/>
      <w:r>
        <w:rPr>
          <w:rFonts w:ascii="Segoe UI Semilight" w:hAnsi="Segoe UI Semilight" w:cs="Segoe UI Semilight"/>
          <w:sz w:val="18"/>
          <w:szCs w:val="18"/>
        </w:rPr>
        <w:t>.</w:t>
      </w:r>
      <w:r w:rsidRPr="005C1B2B">
        <w:rPr>
          <w:rFonts w:ascii="Segoe UI Semilight" w:hAnsi="Segoe UI Semilight" w:cs="Segoe UI Semilight"/>
          <w:sz w:val="18"/>
          <w:szCs w:val="18"/>
        </w:rPr>
        <w:t xml:space="preserve"> od roku 2020</w:t>
      </w:r>
      <w:r w:rsidR="008832AA">
        <w:rPr>
          <w:rFonts w:ascii="Segoe UI Semilight" w:hAnsi="Segoe UI Semilight" w:cs="Segoe UI Semilight"/>
          <w:sz w:val="18"/>
          <w:szCs w:val="18"/>
        </w:rPr>
        <w:t xml:space="preserve"> nespĺňalo zákonom č. 250/2012 o energetike stanovené podmienky na udelenie zníženej sadzby TPS.</w:t>
      </w:r>
      <w:r w:rsidRPr="005C1B2B">
        <w:rPr>
          <w:rFonts w:ascii="Segoe UI Semilight" w:hAnsi="Segoe UI Semilight" w:cs="Segoe UI Semilight"/>
          <w:sz w:val="18"/>
          <w:szCs w:val="18"/>
        </w:rPr>
        <w:t xml:space="preserve"> </w:t>
      </w:r>
    </w:p>
  </w:footnote>
  <w:footnote w:id="17">
    <w:p w14:paraId="7DCE4939" w14:textId="316A218C" w:rsidR="0048313A" w:rsidRDefault="0048313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25D01">
        <w:rPr>
          <w:rFonts w:ascii="Segoe UI Semilight" w:hAnsi="Segoe UI Semilight" w:cs="Segoe UI Semilight"/>
          <w:sz w:val="18"/>
        </w:rPr>
        <w:t xml:space="preserve">Tarify </w:t>
      </w:r>
      <w:r w:rsidR="00D84058">
        <w:rPr>
          <w:rFonts w:ascii="Segoe UI Semilight" w:hAnsi="Segoe UI Semilight" w:cs="Segoe UI Semilight"/>
          <w:sz w:val="18"/>
        </w:rPr>
        <w:t>sú v tomto materiáli považované</w:t>
      </w:r>
      <w:r w:rsidRPr="00425D01">
        <w:rPr>
          <w:rFonts w:ascii="Segoe UI Semilight" w:hAnsi="Segoe UI Semilight" w:cs="Segoe UI Semilight"/>
          <w:sz w:val="18"/>
        </w:rPr>
        <w:t xml:space="preserve"> za dotácie aj napriek tomu, že nie je explicitne definované pre ktorú konkrétnu firmu, resp. odvetvie </w:t>
      </w:r>
      <w:r>
        <w:rPr>
          <w:rFonts w:ascii="Segoe UI Semilight" w:hAnsi="Segoe UI Semilight" w:cs="Segoe UI Semilight"/>
          <w:sz w:val="18"/>
        </w:rPr>
        <w:t>sú tarify nastavené.</w:t>
      </w:r>
      <w:r w:rsidRPr="00425D01">
        <w:rPr>
          <w:rFonts w:ascii="Segoe UI Semilight" w:hAnsi="Segoe UI Semilight" w:cs="Segoe UI Semilight"/>
          <w:sz w:val="18"/>
        </w:rPr>
        <w:t xml:space="preserve"> Zľava je však stanovená arbitrárne</w:t>
      </w:r>
      <w:r w:rsidR="00D84058">
        <w:rPr>
          <w:rFonts w:ascii="Segoe UI Semilight" w:hAnsi="Segoe UI Semilight" w:cs="Segoe UI Semilight"/>
          <w:sz w:val="18"/>
        </w:rPr>
        <w:t xml:space="preserve"> </w:t>
      </w:r>
      <w:r w:rsidRPr="00425D01">
        <w:rPr>
          <w:rFonts w:ascii="Segoe UI Semilight" w:hAnsi="Segoe UI Semilight" w:cs="Segoe UI Semilight"/>
          <w:sz w:val="18"/>
        </w:rPr>
        <w:t>a jednotlivé percentá zľavy vstupujú do výpočtu ako koeficienty, čo spĺňa podmienky metodológie na zaradenie medzi nepriame dotácie</w:t>
      </w:r>
      <w:r>
        <w:t>.</w:t>
      </w:r>
    </w:p>
  </w:footnote>
  <w:footnote w:id="18">
    <w:p w14:paraId="33BFD4E8" w14:textId="6ACDC914" w:rsidR="00270E7B" w:rsidRDefault="00270E7B" w:rsidP="00B322A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Segoe UI Semilight" w:hAnsi="Segoe UI Semilight" w:cs="Segoe UI Semilight"/>
          <w:sz w:val="18"/>
          <w:szCs w:val="18"/>
        </w:rPr>
        <w:t>Prípadne</w:t>
      </w:r>
      <w:r w:rsidRPr="00CC3250">
        <w:rPr>
          <w:rFonts w:ascii="Segoe UI Semilight" w:hAnsi="Segoe UI Semilight" w:cs="Segoe UI Semilight"/>
          <w:sz w:val="18"/>
          <w:szCs w:val="18"/>
        </w:rPr>
        <w:t xml:space="preserve"> sa môže zmeniť dĺžka obdobia na konkrétnu formu pomoci.</w:t>
      </w:r>
      <w:r>
        <w:t xml:space="preserve"> </w:t>
      </w:r>
    </w:p>
  </w:footnote>
  <w:footnote w:id="19">
    <w:p w14:paraId="673B0599" w14:textId="51479563" w:rsidR="00270E7B" w:rsidRPr="009E32FF" w:rsidRDefault="00270E7B" w:rsidP="00B322AB">
      <w:pPr>
        <w:pStyle w:val="Textpoznmkypodiarou"/>
        <w:rPr>
          <w:rFonts w:ascii="Segoe UI Semilight" w:hAnsi="Segoe UI Semilight" w:cs="Segoe UI Semilight"/>
          <w:sz w:val="16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CC3250">
        <w:rPr>
          <w:rFonts w:ascii="Segoe UI Semilight" w:hAnsi="Segoe UI Semilight" w:cs="Segoe UI Semilight"/>
          <w:sz w:val="18"/>
          <w:szCs w:val="18"/>
        </w:rPr>
        <w:t>Dôvodová správa k návrhu zákona, ktorým sa mení a dopĺňa zákon č.</w:t>
      </w:r>
      <w:r>
        <w:rPr>
          <w:rFonts w:ascii="Segoe UI Semilight" w:hAnsi="Segoe UI Semilight" w:cs="Segoe UI Semilight"/>
          <w:sz w:val="18"/>
          <w:szCs w:val="18"/>
        </w:rPr>
        <w:t xml:space="preserve"> </w:t>
      </w:r>
      <w:r w:rsidRPr="00CC3250">
        <w:rPr>
          <w:rFonts w:ascii="Segoe UI Semilight" w:hAnsi="Segoe UI Semilight" w:cs="Segoe UI Semilight"/>
          <w:sz w:val="18"/>
          <w:szCs w:val="18"/>
        </w:rPr>
        <w:t>250/2012 Z.</w:t>
      </w:r>
      <w:r>
        <w:rPr>
          <w:rFonts w:ascii="Segoe UI Semilight" w:hAnsi="Segoe UI Semilight" w:cs="Segoe UI Semilight"/>
          <w:sz w:val="18"/>
          <w:szCs w:val="18"/>
        </w:rPr>
        <w:t> </w:t>
      </w:r>
      <w:r w:rsidRPr="00CC3250">
        <w:rPr>
          <w:rFonts w:ascii="Segoe UI Semilight" w:hAnsi="Segoe UI Semilight" w:cs="Segoe UI Semilight"/>
          <w:sz w:val="18"/>
          <w:szCs w:val="18"/>
        </w:rPr>
        <w:t>z.</w:t>
      </w:r>
      <w:r>
        <w:rPr>
          <w:rFonts w:ascii="Segoe UI Semilight" w:hAnsi="Segoe UI Semilight" w:cs="Segoe UI Semilight"/>
          <w:sz w:val="18"/>
          <w:szCs w:val="18"/>
        </w:rPr>
        <w:t xml:space="preserve"> o regulácii v sieťových odvetviach v znení neskorších predpisov</w:t>
      </w:r>
      <w:r w:rsidRPr="00CC3250">
        <w:rPr>
          <w:rFonts w:ascii="Segoe UI Semilight" w:hAnsi="Segoe UI Semilight" w:cs="Segoe UI Semilight"/>
          <w:sz w:val="18"/>
          <w:szCs w:val="18"/>
        </w:rPr>
        <w:t>,</w:t>
      </w:r>
      <w:r w:rsidR="009E32FF">
        <w:rPr>
          <w:rFonts w:ascii="Segoe UI Semilight" w:hAnsi="Segoe UI Semilight" w:cs="Segoe UI Semilight"/>
          <w:sz w:val="18"/>
          <w:szCs w:val="18"/>
        </w:rPr>
        <w:t xml:space="preserve"> </w:t>
      </w:r>
      <w:r w:rsidRPr="00CC3250">
        <w:rPr>
          <w:rFonts w:ascii="Segoe UI Semilight" w:hAnsi="Segoe UI Semilight" w:cs="Segoe UI Semilight"/>
          <w:sz w:val="18"/>
          <w:szCs w:val="18"/>
        </w:rPr>
        <w:t xml:space="preserve">dostupná na: </w:t>
      </w:r>
      <w:hyperlink r:id="rId5" w:history="1">
        <w:r w:rsidR="009E32FF" w:rsidRPr="009E32FF">
          <w:rPr>
            <w:rStyle w:val="Hypertextovprepojenie"/>
            <w:rFonts w:ascii="Segoe UI Semilight" w:hAnsi="Segoe UI Semilight" w:cs="Segoe UI Semilight"/>
            <w:sz w:val="18"/>
          </w:rPr>
          <w:t>Zákony : Vyhľadávanie v návrhoch zákonov : Detaily návrhu zákona - Národná rada Slovenskej republiky (nrsr.sk)</w:t>
        </w:r>
      </w:hyperlink>
    </w:p>
  </w:footnote>
  <w:footnote w:id="20">
    <w:p w14:paraId="4852A640" w14:textId="17F7B81F" w:rsidR="00270E7B" w:rsidRPr="00954E68" w:rsidRDefault="00270E7B">
      <w:pPr>
        <w:pStyle w:val="Textpoznmkypodiarou"/>
        <w:rPr>
          <w:rFonts w:ascii="Segoe UI Semilight" w:hAnsi="Segoe UI Semilight" w:cs="Segoe UI Semilight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FF1AE3">
        <w:rPr>
          <w:rFonts w:ascii="Segoe UI Semilight" w:hAnsi="Segoe UI Semilight" w:cs="Segoe UI Semilight"/>
          <w:sz w:val="18"/>
          <w:szCs w:val="18"/>
        </w:rPr>
        <w:t xml:space="preserve">Na základe posledných údajov </w:t>
      </w:r>
      <w:r>
        <w:rPr>
          <w:rFonts w:ascii="Segoe UI Semilight" w:hAnsi="Segoe UI Semilight" w:cs="Segoe UI Semilight"/>
          <w:sz w:val="18"/>
          <w:szCs w:val="18"/>
        </w:rPr>
        <w:t>Programu OSN pre životné prostredie</w:t>
      </w:r>
      <w:r w:rsidRPr="00FF1AE3">
        <w:rPr>
          <w:rFonts w:ascii="Segoe UI Semilight" w:hAnsi="Segoe UI Semilight" w:cs="Segoe UI Semilight"/>
          <w:sz w:val="18"/>
          <w:szCs w:val="18"/>
        </w:rPr>
        <w:t xml:space="preserve"> </w:t>
      </w:r>
      <w:r>
        <w:rPr>
          <w:rFonts w:ascii="Segoe UI Semilight" w:hAnsi="Segoe UI Semilight" w:cs="Segoe UI Semilight"/>
          <w:sz w:val="18"/>
          <w:szCs w:val="18"/>
        </w:rPr>
        <w:t>(</w:t>
      </w:r>
      <w:r w:rsidRPr="00FF1AE3">
        <w:rPr>
          <w:rFonts w:ascii="Segoe UI Semilight" w:hAnsi="Segoe UI Semilight" w:cs="Segoe UI Semilight"/>
          <w:sz w:val="18"/>
          <w:szCs w:val="18"/>
        </w:rPr>
        <w:t>UNEP</w:t>
      </w:r>
      <w:r>
        <w:rPr>
          <w:rFonts w:ascii="Segoe UI Semilight" w:hAnsi="Segoe UI Semilight" w:cs="Segoe UI Semilight"/>
          <w:sz w:val="18"/>
          <w:szCs w:val="18"/>
        </w:rPr>
        <w:t>) ide o</w:t>
      </w:r>
      <w:r w:rsidRPr="00FF1AE3">
        <w:rPr>
          <w:rFonts w:ascii="Segoe UI Semilight" w:hAnsi="Segoe UI Semilight" w:cs="Segoe UI Semilight"/>
          <w:sz w:val="18"/>
          <w:szCs w:val="18"/>
        </w:rPr>
        <w:t xml:space="preserve"> 10</w:t>
      </w:r>
      <w:r>
        <w:rPr>
          <w:rFonts w:ascii="Segoe UI Semilight" w:hAnsi="Segoe UI Semilight" w:cs="Segoe UI Semilight"/>
          <w:sz w:val="18"/>
          <w:szCs w:val="18"/>
        </w:rPr>
        <w:t xml:space="preserve"> </w:t>
      </w:r>
      <w:r w:rsidRPr="00FF1AE3">
        <w:rPr>
          <w:rFonts w:ascii="Segoe UI Semilight" w:hAnsi="Segoe UI Semilight" w:cs="Segoe UI Semilight"/>
          <w:sz w:val="18"/>
          <w:szCs w:val="18"/>
        </w:rPr>
        <w:t>krajín OSN</w:t>
      </w:r>
      <w:r w:rsidRPr="00954E68">
        <w:rPr>
          <w:rFonts w:ascii="Segoe UI Semilight" w:hAnsi="Segoe UI Semilight" w:cs="Segoe UI Semilight"/>
          <w:sz w:val="18"/>
          <w:szCs w:val="18"/>
        </w:rPr>
        <w:t xml:space="preserve">, z toho 5 vykazuje nulové dotácie. </w:t>
      </w:r>
    </w:p>
  </w:footnote>
  <w:footnote w:id="21">
    <w:p w14:paraId="23854A15" w14:textId="4CA7CD6B" w:rsidR="00270E7B" w:rsidRDefault="00270E7B">
      <w:pPr>
        <w:pStyle w:val="Textpoznmkypodiarou"/>
      </w:pPr>
      <w:r>
        <w:rPr>
          <w:rStyle w:val="Odkaznapoznmkupodiarou"/>
        </w:rPr>
        <w:footnoteRef/>
      </w:r>
      <w:r w:rsidR="009E32FF">
        <w:t xml:space="preserve"> </w:t>
      </w:r>
      <w:r w:rsidR="009E32FF" w:rsidRPr="009E32FF">
        <w:rPr>
          <w:rFonts w:ascii="Segoe UI Semilight" w:hAnsi="Segoe UI Semilight" w:cs="Segoe UI Semilight"/>
          <w:sz w:val="18"/>
        </w:rPr>
        <w:t xml:space="preserve">Organizácia </w:t>
      </w:r>
      <w:proofErr w:type="spellStart"/>
      <w:r w:rsidR="009E32FF" w:rsidRPr="009E32FF">
        <w:rPr>
          <w:rFonts w:ascii="Segoe UI Semilight" w:hAnsi="Segoe UI Semilight" w:cs="Segoe UI Semilight"/>
          <w:sz w:val="18"/>
        </w:rPr>
        <w:t>Our</w:t>
      </w:r>
      <w:proofErr w:type="spellEnd"/>
      <w:r w:rsidR="009E32FF" w:rsidRPr="009E32FF">
        <w:rPr>
          <w:rFonts w:ascii="Segoe UI Semilight" w:hAnsi="Segoe UI Semilight" w:cs="Segoe UI Semilight"/>
          <w:sz w:val="18"/>
        </w:rPr>
        <w:t xml:space="preserve"> </w:t>
      </w:r>
      <w:proofErr w:type="spellStart"/>
      <w:r w:rsidR="009E32FF" w:rsidRPr="009E32FF">
        <w:rPr>
          <w:rFonts w:ascii="Segoe UI Semilight" w:hAnsi="Segoe UI Semilight" w:cs="Segoe UI Semilight"/>
          <w:sz w:val="18"/>
        </w:rPr>
        <w:t>World</w:t>
      </w:r>
      <w:proofErr w:type="spellEnd"/>
      <w:r w:rsidR="009E32FF" w:rsidRPr="009E32FF">
        <w:rPr>
          <w:rFonts w:ascii="Segoe UI Semilight" w:hAnsi="Segoe UI Semilight" w:cs="Segoe UI Semilight"/>
          <w:sz w:val="18"/>
        </w:rPr>
        <w:t xml:space="preserve"> in </w:t>
      </w:r>
      <w:proofErr w:type="spellStart"/>
      <w:r w:rsidR="009E32FF" w:rsidRPr="009E32FF">
        <w:rPr>
          <w:rFonts w:ascii="Segoe UI Semilight" w:hAnsi="Segoe UI Semilight" w:cs="Segoe UI Semilight"/>
          <w:sz w:val="18"/>
        </w:rPr>
        <w:t>Data</w:t>
      </w:r>
      <w:proofErr w:type="spellEnd"/>
      <w:r w:rsidR="009E32FF" w:rsidRPr="009E32FF">
        <w:rPr>
          <w:rFonts w:ascii="Segoe UI Semilight" w:hAnsi="Segoe UI Semilight" w:cs="Segoe UI Semilight"/>
          <w:sz w:val="18"/>
        </w:rPr>
        <w:t>, dáta dostupné na:</w:t>
      </w:r>
      <w:r w:rsidRPr="009E32FF">
        <w:rPr>
          <w:sz w:val="18"/>
        </w:rPr>
        <w:t xml:space="preserve"> </w:t>
      </w:r>
      <w:hyperlink r:id="rId6" w:history="1">
        <w:proofErr w:type="spellStart"/>
        <w:r w:rsidRPr="00D608E8">
          <w:rPr>
            <w:rStyle w:val="Hypertextovprepojenie"/>
            <w:rFonts w:ascii="Segoe UI Semilight" w:hAnsi="Segoe UI Semilight" w:cs="Segoe UI Semilight"/>
            <w:sz w:val="18"/>
            <w:szCs w:val="18"/>
          </w:rPr>
          <w:t>Our</w:t>
        </w:r>
        <w:proofErr w:type="spellEnd"/>
        <w:r w:rsidRPr="00D608E8">
          <w:rPr>
            <w:rStyle w:val="Hypertextovprepojenie"/>
            <w:rFonts w:ascii="Segoe UI Semilight" w:hAnsi="Segoe UI Semilight" w:cs="Segoe UI Semilight"/>
            <w:sz w:val="18"/>
            <w:szCs w:val="18"/>
          </w:rPr>
          <w:t xml:space="preserve"> </w:t>
        </w:r>
        <w:proofErr w:type="spellStart"/>
        <w:r w:rsidRPr="00D608E8">
          <w:rPr>
            <w:rStyle w:val="Hypertextovprepojenie"/>
            <w:rFonts w:ascii="Segoe UI Semilight" w:hAnsi="Segoe UI Semilight" w:cs="Segoe UI Semilight"/>
            <w:sz w:val="18"/>
            <w:szCs w:val="18"/>
          </w:rPr>
          <w:t>World</w:t>
        </w:r>
        <w:proofErr w:type="spellEnd"/>
        <w:r w:rsidRPr="00D608E8">
          <w:rPr>
            <w:rStyle w:val="Hypertextovprepojenie"/>
            <w:rFonts w:ascii="Segoe UI Semilight" w:hAnsi="Segoe UI Semilight" w:cs="Segoe UI Semilight"/>
            <w:sz w:val="18"/>
            <w:szCs w:val="18"/>
          </w:rPr>
          <w:t xml:space="preserve"> in </w:t>
        </w:r>
        <w:proofErr w:type="spellStart"/>
        <w:r w:rsidRPr="00D608E8">
          <w:rPr>
            <w:rStyle w:val="Hypertextovprepojenie"/>
            <w:rFonts w:ascii="Segoe UI Semilight" w:hAnsi="Segoe UI Semilight" w:cs="Segoe UI Semilight"/>
            <w:sz w:val="18"/>
            <w:szCs w:val="18"/>
          </w:rPr>
          <w:t>Data</w:t>
        </w:r>
        <w:proofErr w:type="spellEnd"/>
      </w:hyperlink>
    </w:p>
  </w:footnote>
  <w:footnote w:id="22">
    <w:p w14:paraId="6645591C" w14:textId="14AFFF22" w:rsidR="00270E7B" w:rsidRDefault="00270E7B" w:rsidP="00B322A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CC3250">
        <w:rPr>
          <w:rFonts w:ascii="Segoe UI Semilight" w:hAnsi="Segoe UI Semilight" w:cs="Segoe UI Semilight"/>
          <w:sz w:val="18"/>
          <w:szCs w:val="18"/>
        </w:rPr>
        <w:t xml:space="preserve">Do výpočtov </w:t>
      </w:r>
      <w:r>
        <w:rPr>
          <w:rFonts w:ascii="Segoe UI Semilight" w:hAnsi="Segoe UI Semilight" w:cs="Segoe UI Semilight"/>
          <w:sz w:val="18"/>
          <w:szCs w:val="18"/>
        </w:rPr>
        <w:t xml:space="preserve">neboli zahrnuté </w:t>
      </w:r>
      <w:r w:rsidRPr="00CC3250">
        <w:rPr>
          <w:rFonts w:ascii="Segoe UI Semilight" w:hAnsi="Segoe UI Semilight" w:cs="Segoe UI Semilight"/>
          <w:sz w:val="18"/>
          <w:szCs w:val="18"/>
        </w:rPr>
        <w:t>Malta a Luxembursko z dôvodu neexistencie dát dotácií na fosílne palivá.</w:t>
      </w:r>
      <w:r>
        <w:t xml:space="preserve"> </w:t>
      </w:r>
    </w:p>
  </w:footnote>
  <w:footnote w:id="23">
    <w:p w14:paraId="09B9BC8C" w14:textId="2A757117" w:rsidR="00270E7B" w:rsidRPr="00E23C51" w:rsidRDefault="00270E7B">
      <w:pPr>
        <w:pStyle w:val="Textpoznmkypodiarou"/>
        <w:rPr>
          <w:sz w:val="18"/>
        </w:rPr>
      </w:pPr>
      <w:r>
        <w:rPr>
          <w:rStyle w:val="Odkaznapoznmkupodiarou"/>
        </w:rPr>
        <w:footnoteRef/>
      </w:r>
      <w:r>
        <w:t xml:space="preserve"> </w:t>
      </w:r>
      <w:r w:rsidR="009E32FF" w:rsidRPr="009E32FF">
        <w:rPr>
          <w:rFonts w:ascii="Segoe UI Semilight" w:hAnsi="Segoe UI Semilight" w:cs="Segoe UI Semilight"/>
          <w:sz w:val="18"/>
          <w:szCs w:val="18"/>
        </w:rPr>
        <w:t>Dáta podielu dotácií na fosílne palivá na jednotku HDP d</w:t>
      </w:r>
      <w:r w:rsidRPr="009E32FF">
        <w:rPr>
          <w:rFonts w:ascii="Segoe UI Semilight" w:hAnsi="Segoe UI Semilight" w:cs="Segoe UI Semilight"/>
          <w:sz w:val="18"/>
          <w:szCs w:val="18"/>
        </w:rPr>
        <w:t>ostupné</w:t>
      </w:r>
      <w:r>
        <w:rPr>
          <w:rFonts w:ascii="Segoe UI Semilight" w:hAnsi="Segoe UI Semilight" w:cs="Segoe UI Semilight"/>
          <w:sz w:val="22"/>
          <w:szCs w:val="22"/>
        </w:rPr>
        <w:t xml:space="preserve"> </w:t>
      </w:r>
      <w:r w:rsidRPr="00E240CF">
        <w:rPr>
          <w:rFonts w:ascii="Segoe UI Semilight" w:hAnsi="Segoe UI Semilight" w:cs="Segoe UI Semilight"/>
          <w:sz w:val="18"/>
          <w:szCs w:val="22"/>
        </w:rPr>
        <w:t>na</w:t>
      </w:r>
      <w:r>
        <w:rPr>
          <w:rFonts w:ascii="Segoe UI Semilight" w:hAnsi="Segoe UI Semilight" w:cs="Segoe UI Semilight"/>
          <w:sz w:val="22"/>
          <w:szCs w:val="22"/>
        </w:rPr>
        <w:t xml:space="preserve">: </w:t>
      </w:r>
      <w:hyperlink r:id="rId7" w:history="1">
        <w:proofErr w:type="spellStart"/>
        <w:r w:rsidRPr="00D608E8">
          <w:rPr>
            <w:rStyle w:val="Hypertextovprepojenie"/>
            <w:rFonts w:ascii="Segoe UI Semilight" w:hAnsi="Segoe UI Semilight" w:cs="Segoe UI Semilight"/>
            <w:sz w:val="18"/>
            <w:szCs w:val="18"/>
          </w:rPr>
          <w:t>Fossil-fuel</w:t>
        </w:r>
        <w:proofErr w:type="spellEnd"/>
        <w:r w:rsidRPr="00D608E8">
          <w:rPr>
            <w:rStyle w:val="Hypertextovprepojenie"/>
            <w:rFonts w:ascii="Segoe UI Semilight" w:hAnsi="Segoe UI Semilight" w:cs="Segoe UI Semilight"/>
            <w:sz w:val="18"/>
            <w:szCs w:val="18"/>
          </w:rPr>
          <w:t xml:space="preserve"> </w:t>
        </w:r>
        <w:proofErr w:type="spellStart"/>
        <w:r w:rsidRPr="00D608E8">
          <w:rPr>
            <w:rStyle w:val="Hypertextovprepojenie"/>
            <w:rFonts w:ascii="Segoe UI Semilight" w:hAnsi="Segoe UI Semilight" w:cs="Segoe UI Semilight"/>
            <w:sz w:val="18"/>
            <w:szCs w:val="18"/>
          </w:rPr>
          <w:t>subsidies</w:t>
        </w:r>
        <w:proofErr w:type="spellEnd"/>
        <w:r w:rsidRPr="00D608E8">
          <w:rPr>
            <w:rStyle w:val="Hypertextovprepojenie"/>
            <w:rFonts w:ascii="Segoe UI Semilight" w:hAnsi="Segoe UI Semilight" w:cs="Segoe UI Semilight"/>
            <w:sz w:val="18"/>
            <w:szCs w:val="18"/>
          </w:rPr>
          <w:t xml:space="preserve"> as a </w:t>
        </w:r>
        <w:proofErr w:type="spellStart"/>
        <w:r w:rsidRPr="00D608E8">
          <w:rPr>
            <w:rStyle w:val="Hypertextovprepojenie"/>
            <w:rFonts w:ascii="Segoe UI Semilight" w:hAnsi="Segoe UI Semilight" w:cs="Segoe UI Semilight"/>
            <w:sz w:val="18"/>
            <w:szCs w:val="18"/>
          </w:rPr>
          <w:t>share</w:t>
        </w:r>
        <w:proofErr w:type="spellEnd"/>
        <w:r w:rsidRPr="00D608E8">
          <w:rPr>
            <w:rStyle w:val="Hypertextovprepojenie"/>
            <w:rFonts w:ascii="Segoe UI Semilight" w:hAnsi="Segoe UI Semilight" w:cs="Segoe UI Semilight"/>
            <w:sz w:val="18"/>
            <w:szCs w:val="18"/>
          </w:rPr>
          <w:t xml:space="preserve"> of GDP, 2015 to 2020 (ourworldindata.org)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E3029" w14:textId="7B560AE5" w:rsidR="00270E7B" w:rsidRPr="00976E40" w:rsidRDefault="00270E7B" w:rsidP="00E57074">
    <w:pPr>
      <w:tabs>
        <w:tab w:val="left" w:pos="6946"/>
      </w:tabs>
      <w:spacing w:after="0" w:line="276" w:lineRule="auto"/>
      <w:rPr>
        <w:b/>
        <w:sz w:val="28"/>
        <w:szCs w:val="26"/>
      </w:rPr>
    </w:pPr>
    <w:r>
      <w:rPr>
        <w:rFonts w:cs="Arial"/>
        <w:b/>
        <w:color w:val="0070C0"/>
        <w:sz w:val="28"/>
        <w:szCs w:val="26"/>
      </w:rPr>
      <w:t>Inštitút hospodárskych analýz</w:t>
    </w:r>
    <w:r>
      <w:rPr>
        <w:rFonts w:cs="Arial"/>
        <w:b/>
        <w:color w:val="0070C0"/>
        <w:sz w:val="28"/>
        <w:szCs w:val="26"/>
      </w:rPr>
      <w:tab/>
    </w:r>
    <w:r>
      <w:rPr>
        <w:noProof/>
        <w:lang w:eastAsia="sk-SK"/>
      </w:rPr>
      <w:drawing>
        <wp:anchor distT="0" distB="0" distL="114300" distR="114300" simplePos="0" relativeHeight="251660288" behindDoc="1" locked="0" layoutInCell="1" allowOverlap="1" wp14:anchorId="6DA271E1" wp14:editId="0BF7C000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295400" cy="321945"/>
          <wp:effectExtent l="0" t="0" r="0" b="1905"/>
          <wp:wrapNone/>
          <wp:docPr id="25" name="Obrázo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stvo hospodarstva SR orez lo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321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DA7F67" w14:textId="77777777" w:rsidR="00270E7B" w:rsidRDefault="00270E7B" w:rsidP="00E57074"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8D6BD5" wp14:editId="5E6EAE2F">
              <wp:simplePos x="0" y="0"/>
              <wp:positionH relativeFrom="page">
                <wp:posOffset>0</wp:posOffset>
              </wp:positionH>
              <wp:positionV relativeFrom="paragraph">
                <wp:posOffset>169339</wp:posOffset>
              </wp:positionV>
              <wp:extent cx="10668000" cy="219075"/>
              <wp:effectExtent l="0" t="0" r="19050" b="28575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0" cy="21907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6350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045CB810" w14:textId="77777777" w:rsidR="00270E7B" w:rsidRDefault="00270E7B" w:rsidP="00E57074">
                          <w:pPr>
                            <w:pStyle w:val="Odsekzoznamu"/>
                            <w:spacing w:after="0"/>
                            <w:ind w:left="1276" w:right="304"/>
                            <w:rPr>
                              <w:rFonts w:ascii="Century Gothic" w:hAnsi="Century Gothic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14:paraId="740DEB24" w14:textId="77777777" w:rsidR="00270E7B" w:rsidRDefault="00270E7B" w:rsidP="00E57074">
                          <w:pPr>
                            <w:pStyle w:val="Odsekzoznamu"/>
                            <w:spacing w:after="0"/>
                            <w:ind w:left="1276" w:right="304"/>
                            <w:rPr>
                              <w:rFonts w:ascii="Century Gothic" w:hAnsi="Century Gothic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14:paraId="5502C029" w14:textId="77777777" w:rsidR="00270E7B" w:rsidRDefault="00270E7B" w:rsidP="00E57074">
                          <w:pPr>
                            <w:pStyle w:val="Odsekzoznamu"/>
                            <w:spacing w:after="0"/>
                            <w:ind w:left="1276" w:right="304"/>
                            <w:rPr>
                              <w:rFonts w:ascii="Century Gothic" w:hAnsi="Century Gothic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14:paraId="6592B6F0" w14:textId="77777777" w:rsidR="00270E7B" w:rsidRDefault="00270E7B" w:rsidP="00E57074">
                          <w:pPr>
                            <w:pStyle w:val="Odsekzoznamu"/>
                            <w:spacing w:after="0"/>
                            <w:ind w:left="1276" w:right="304"/>
                            <w:rPr>
                              <w:rFonts w:ascii="Century Gothic" w:hAnsi="Century Gothic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14:paraId="4881116B" w14:textId="77777777" w:rsidR="00270E7B" w:rsidRDefault="00270E7B" w:rsidP="00E57074">
                          <w:pPr>
                            <w:pStyle w:val="Odsekzoznamu"/>
                            <w:spacing w:after="0"/>
                            <w:ind w:left="1276" w:right="304"/>
                            <w:rPr>
                              <w:rFonts w:ascii="Century Gothic" w:hAnsi="Century Gothic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14:paraId="1A8615DB" w14:textId="77777777" w:rsidR="00270E7B" w:rsidRDefault="00270E7B" w:rsidP="00E57074">
                          <w:pPr>
                            <w:pStyle w:val="Odsekzoznamu"/>
                            <w:spacing w:after="0"/>
                            <w:ind w:left="1276" w:right="304"/>
                            <w:rPr>
                              <w:rFonts w:ascii="Century Gothic" w:hAnsi="Century Gothic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D6BD5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1" type="#_x0000_t202" style="position:absolute;left:0;text-align:left;margin-left:0;margin-top:13.35pt;width:840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" fillcolor="#0070c0" strokecolor="#0070c0" strokeweight=".5pt">
              <v:textbox>
                <w:txbxContent>
                  <w:p w14:paraId="045CB810" w14:textId="77777777" w:rsidR="00270E7B" w:rsidRDefault="00270E7B" w:rsidP="00E57074">
                    <w:pPr>
                      <w:pStyle w:val="Odsekzoznamu"/>
                      <w:spacing w:after="0"/>
                      <w:ind w:left="1276" w:right="304"/>
                      <w:rPr>
                        <w:rFonts w:ascii="Century Gothic" w:hAnsi="Century Gothic"/>
                        <w:color w:val="FFFFFF" w:themeColor="background1"/>
                        <w:sz w:val="32"/>
                        <w:szCs w:val="32"/>
                      </w:rPr>
                    </w:pPr>
                  </w:p>
                  <w:p w14:paraId="740DEB24" w14:textId="77777777" w:rsidR="00270E7B" w:rsidRDefault="00270E7B" w:rsidP="00E57074">
                    <w:pPr>
                      <w:pStyle w:val="Odsekzoznamu"/>
                      <w:spacing w:after="0"/>
                      <w:ind w:left="1276" w:right="304"/>
                      <w:rPr>
                        <w:rFonts w:ascii="Century Gothic" w:hAnsi="Century Gothic"/>
                        <w:color w:val="FFFFFF" w:themeColor="background1"/>
                        <w:sz w:val="32"/>
                        <w:szCs w:val="32"/>
                      </w:rPr>
                    </w:pPr>
                  </w:p>
                  <w:p w14:paraId="5502C029" w14:textId="77777777" w:rsidR="00270E7B" w:rsidRDefault="00270E7B" w:rsidP="00E57074">
                    <w:pPr>
                      <w:pStyle w:val="Odsekzoznamu"/>
                      <w:spacing w:after="0"/>
                      <w:ind w:left="1276" w:right="304"/>
                      <w:rPr>
                        <w:rFonts w:ascii="Century Gothic" w:hAnsi="Century Gothic"/>
                        <w:color w:val="FFFFFF" w:themeColor="background1"/>
                        <w:sz w:val="32"/>
                        <w:szCs w:val="32"/>
                      </w:rPr>
                    </w:pPr>
                  </w:p>
                  <w:p w14:paraId="6592B6F0" w14:textId="77777777" w:rsidR="00270E7B" w:rsidRDefault="00270E7B" w:rsidP="00E57074">
                    <w:pPr>
                      <w:pStyle w:val="Odsekzoznamu"/>
                      <w:spacing w:after="0"/>
                      <w:ind w:left="1276" w:right="304"/>
                      <w:rPr>
                        <w:rFonts w:ascii="Century Gothic" w:hAnsi="Century Gothic"/>
                        <w:color w:val="FFFFFF" w:themeColor="background1"/>
                        <w:sz w:val="32"/>
                        <w:szCs w:val="32"/>
                      </w:rPr>
                    </w:pPr>
                  </w:p>
                  <w:p w14:paraId="4881116B" w14:textId="77777777" w:rsidR="00270E7B" w:rsidRDefault="00270E7B" w:rsidP="00E57074">
                    <w:pPr>
                      <w:pStyle w:val="Odsekzoznamu"/>
                      <w:spacing w:after="0"/>
                      <w:ind w:left="1276" w:right="304"/>
                      <w:rPr>
                        <w:rFonts w:ascii="Century Gothic" w:hAnsi="Century Gothic"/>
                        <w:color w:val="FFFFFF" w:themeColor="background1"/>
                        <w:sz w:val="32"/>
                        <w:szCs w:val="32"/>
                      </w:rPr>
                    </w:pPr>
                  </w:p>
                  <w:p w14:paraId="1A8615DB" w14:textId="77777777" w:rsidR="00270E7B" w:rsidRDefault="00270E7B" w:rsidP="00E57074">
                    <w:pPr>
                      <w:pStyle w:val="Odsekzoznamu"/>
                      <w:spacing w:after="0"/>
                      <w:ind w:left="1276" w:right="304"/>
                      <w:rPr>
                        <w:rFonts w:ascii="Century Gothic" w:hAnsi="Century Gothic"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39568728" w14:textId="77777777" w:rsidR="00270E7B" w:rsidRDefault="00270E7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921"/>
    <w:multiLevelType w:val="hybridMultilevel"/>
    <w:tmpl w:val="E7BCA012"/>
    <w:lvl w:ilvl="0" w:tplc="0CF2E6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90A91"/>
    <w:multiLevelType w:val="hybridMultilevel"/>
    <w:tmpl w:val="39C6C26C"/>
    <w:lvl w:ilvl="0" w:tplc="0B366C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B366CC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86516"/>
    <w:multiLevelType w:val="hybridMultilevel"/>
    <w:tmpl w:val="B5C4D4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C73C7"/>
    <w:multiLevelType w:val="hybridMultilevel"/>
    <w:tmpl w:val="CD4C6D0E"/>
    <w:lvl w:ilvl="0" w:tplc="0B366C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F3678"/>
    <w:multiLevelType w:val="hybridMultilevel"/>
    <w:tmpl w:val="F1B2EBAE"/>
    <w:lvl w:ilvl="0" w:tplc="0B366C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95238"/>
    <w:multiLevelType w:val="hybridMultilevel"/>
    <w:tmpl w:val="031CB4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123B4"/>
    <w:multiLevelType w:val="hybridMultilevel"/>
    <w:tmpl w:val="E5FA4EE4"/>
    <w:lvl w:ilvl="0" w:tplc="276011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21C09"/>
    <w:multiLevelType w:val="hybridMultilevel"/>
    <w:tmpl w:val="6CA45826"/>
    <w:lvl w:ilvl="0" w:tplc="0B366C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B366CC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F164F"/>
    <w:multiLevelType w:val="hybridMultilevel"/>
    <w:tmpl w:val="EEE2E0CC"/>
    <w:lvl w:ilvl="0" w:tplc="C7DE23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23175"/>
    <w:multiLevelType w:val="hybridMultilevel"/>
    <w:tmpl w:val="F7B232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E7009"/>
    <w:multiLevelType w:val="hybridMultilevel"/>
    <w:tmpl w:val="A3B266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B70AA"/>
    <w:multiLevelType w:val="hybridMultilevel"/>
    <w:tmpl w:val="0E72A1FC"/>
    <w:lvl w:ilvl="0" w:tplc="95FA4114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2353F"/>
    <w:multiLevelType w:val="hybridMultilevel"/>
    <w:tmpl w:val="CB8A2668"/>
    <w:lvl w:ilvl="0" w:tplc="0B366C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939B6"/>
    <w:multiLevelType w:val="hybridMultilevel"/>
    <w:tmpl w:val="74429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C6122"/>
    <w:multiLevelType w:val="hybridMultilevel"/>
    <w:tmpl w:val="57CA5BEC"/>
    <w:lvl w:ilvl="0" w:tplc="E3B2E094">
      <w:start w:val="1"/>
      <w:numFmt w:val="bullet"/>
      <w:pStyle w:val="Prv-nadpi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A5E04"/>
    <w:multiLevelType w:val="multilevel"/>
    <w:tmpl w:val="37DA1F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C145BE"/>
    <w:multiLevelType w:val="hybridMultilevel"/>
    <w:tmpl w:val="30C20514"/>
    <w:lvl w:ilvl="0" w:tplc="276011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E7856"/>
    <w:multiLevelType w:val="hybridMultilevel"/>
    <w:tmpl w:val="92E4B6E2"/>
    <w:lvl w:ilvl="0" w:tplc="082A9B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02310"/>
    <w:multiLevelType w:val="hybridMultilevel"/>
    <w:tmpl w:val="134223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823F5"/>
    <w:multiLevelType w:val="hybridMultilevel"/>
    <w:tmpl w:val="531608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85758"/>
    <w:multiLevelType w:val="hybridMultilevel"/>
    <w:tmpl w:val="38BCCD1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62E13"/>
    <w:multiLevelType w:val="hybridMultilevel"/>
    <w:tmpl w:val="B89856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91D27"/>
    <w:multiLevelType w:val="hybridMultilevel"/>
    <w:tmpl w:val="C4DCC2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52537"/>
    <w:multiLevelType w:val="hybridMultilevel"/>
    <w:tmpl w:val="F1A608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130F8"/>
    <w:multiLevelType w:val="hybridMultilevel"/>
    <w:tmpl w:val="AF04DA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317AA"/>
    <w:multiLevelType w:val="hybridMultilevel"/>
    <w:tmpl w:val="22A0CBEA"/>
    <w:lvl w:ilvl="0" w:tplc="0B366C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23E73"/>
    <w:multiLevelType w:val="hybridMultilevel"/>
    <w:tmpl w:val="09C4004A"/>
    <w:lvl w:ilvl="0" w:tplc="0B366C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B366CC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163BE"/>
    <w:multiLevelType w:val="hybridMultilevel"/>
    <w:tmpl w:val="82F21570"/>
    <w:lvl w:ilvl="0" w:tplc="0B366C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00AC3"/>
    <w:multiLevelType w:val="hybridMultilevel"/>
    <w:tmpl w:val="30AEF8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060EF"/>
    <w:multiLevelType w:val="hybridMultilevel"/>
    <w:tmpl w:val="0F48B7EC"/>
    <w:lvl w:ilvl="0" w:tplc="53288B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65C54"/>
    <w:multiLevelType w:val="hybridMultilevel"/>
    <w:tmpl w:val="A3D6B0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21269"/>
    <w:multiLevelType w:val="hybridMultilevel"/>
    <w:tmpl w:val="D9E6DD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0B3A9E"/>
    <w:multiLevelType w:val="hybridMultilevel"/>
    <w:tmpl w:val="E49E116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D28E5"/>
    <w:multiLevelType w:val="hybridMultilevel"/>
    <w:tmpl w:val="4BD0F2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8357B"/>
    <w:multiLevelType w:val="hybridMultilevel"/>
    <w:tmpl w:val="D116E40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11"/>
  </w:num>
  <w:num w:numId="5">
    <w:abstractNumId w:val="3"/>
  </w:num>
  <w:num w:numId="6">
    <w:abstractNumId w:val="3"/>
  </w:num>
  <w:num w:numId="7">
    <w:abstractNumId w:val="12"/>
  </w:num>
  <w:num w:numId="8">
    <w:abstractNumId w:val="25"/>
  </w:num>
  <w:num w:numId="9">
    <w:abstractNumId w:val="27"/>
  </w:num>
  <w:num w:numId="10">
    <w:abstractNumId w:val="26"/>
  </w:num>
  <w:num w:numId="11">
    <w:abstractNumId w:val="7"/>
  </w:num>
  <w:num w:numId="12">
    <w:abstractNumId w:val="1"/>
  </w:num>
  <w:num w:numId="13">
    <w:abstractNumId w:val="4"/>
  </w:num>
  <w:num w:numId="14">
    <w:abstractNumId w:val="20"/>
  </w:num>
  <w:num w:numId="15">
    <w:abstractNumId w:val="32"/>
  </w:num>
  <w:num w:numId="16">
    <w:abstractNumId w:val="0"/>
  </w:num>
  <w:num w:numId="17">
    <w:abstractNumId w:val="17"/>
  </w:num>
  <w:num w:numId="18">
    <w:abstractNumId w:val="8"/>
  </w:num>
  <w:num w:numId="19">
    <w:abstractNumId w:val="18"/>
  </w:num>
  <w:num w:numId="20">
    <w:abstractNumId w:val="34"/>
  </w:num>
  <w:num w:numId="21">
    <w:abstractNumId w:val="10"/>
  </w:num>
  <w:num w:numId="22">
    <w:abstractNumId w:val="30"/>
  </w:num>
  <w:num w:numId="23">
    <w:abstractNumId w:val="24"/>
  </w:num>
  <w:num w:numId="24">
    <w:abstractNumId w:val="9"/>
  </w:num>
  <w:num w:numId="25">
    <w:abstractNumId w:val="2"/>
  </w:num>
  <w:num w:numId="26">
    <w:abstractNumId w:val="31"/>
  </w:num>
  <w:num w:numId="27">
    <w:abstractNumId w:val="19"/>
  </w:num>
  <w:num w:numId="28">
    <w:abstractNumId w:val="22"/>
  </w:num>
  <w:num w:numId="29">
    <w:abstractNumId w:val="13"/>
  </w:num>
  <w:num w:numId="30">
    <w:abstractNumId w:val="19"/>
  </w:num>
  <w:num w:numId="31">
    <w:abstractNumId w:val="13"/>
  </w:num>
  <w:num w:numId="32">
    <w:abstractNumId w:val="31"/>
  </w:num>
  <w:num w:numId="33">
    <w:abstractNumId w:val="29"/>
  </w:num>
  <w:num w:numId="34">
    <w:abstractNumId w:val="33"/>
  </w:num>
  <w:num w:numId="35">
    <w:abstractNumId w:val="23"/>
  </w:num>
  <w:num w:numId="36">
    <w:abstractNumId w:val="28"/>
  </w:num>
  <w:num w:numId="37">
    <w:abstractNumId w:val="21"/>
  </w:num>
  <w:num w:numId="38">
    <w:abstractNumId w:val="16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1E"/>
    <w:rsid w:val="00000A85"/>
    <w:rsid w:val="00002488"/>
    <w:rsid w:val="0000364F"/>
    <w:rsid w:val="00003E7D"/>
    <w:rsid w:val="00005503"/>
    <w:rsid w:val="0000577C"/>
    <w:rsid w:val="00007CB0"/>
    <w:rsid w:val="00013D5C"/>
    <w:rsid w:val="00013DC9"/>
    <w:rsid w:val="00013DF3"/>
    <w:rsid w:val="000158CB"/>
    <w:rsid w:val="00015C22"/>
    <w:rsid w:val="000163E5"/>
    <w:rsid w:val="00016EE4"/>
    <w:rsid w:val="00022147"/>
    <w:rsid w:val="0002335F"/>
    <w:rsid w:val="00023555"/>
    <w:rsid w:val="0002382F"/>
    <w:rsid w:val="00024E73"/>
    <w:rsid w:val="0002532F"/>
    <w:rsid w:val="000267C6"/>
    <w:rsid w:val="0002694C"/>
    <w:rsid w:val="00026E48"/>
    <w:rsid w:val="00027D82"/>
    <w:rsid w:val="000302B0"/>
    <w:rsid w:val="000330A0"/>
    <w:rsid w:val="00033893"/>
    <w:rsid w:val="00034D7B"/>
    <w:rsid w:val="00043C62"/>
    <w:rsid w:val="00046558"/>
    <w:rsid w:val="0004657A"/>
    <w:rsid w:val="000466A2"/>
    <w:rsid w:val="0005067C"/>
    <w:rsid w:val="000528CD"/>
    <w:rsid w:val="000546D7"/>
    <w:rsid w:val="00055E5D"/>
    <w:rsid w:val="00056818"/>
    <w:rsid w:val="0006085B"/>
    <w:rsid w:val="00060DC4"/>
    <w:rsid w:val="000640FD"/>
    <w:rsid w:val="0006433C"/>
    <w:rsid w:val="00064BEB"/>
    <w:rsid w:val="00072142"/>
    <w:rsid w:val="000723D9"/>
    <w:rsid w:val="000746D1"/>
    <w:rsid w:val="00074F85"/>
    <w:rsid w:val="0007630A"/>
    <w:rsid w:val="00080E03"/>
    <w:rsid w:val="00082242"/>
    <w:rsid w:val="00083355"/>
    <w:rsid w:val="0008602C"/>
    <w:rsid w:val="00090E85"/>
    <w:rsid w:val="000915B0"/>
    <w:rsid w:val="00091EAD"/>
    <w:rsid w:val="00096A2E"/>
    <w:rsid w:val="000A2BB5"/>
    <w:rsid w:val="000A3B3E"/>
    <w:rsid w:val="000A4F49"/>
    <w:rsid w:val="000A5859"/>
    <w:rsid w:val="000A5AA9"/>
    <w:rsid w:val="000A6842"/>
    <w:rsid w:val="000A7FE6"/>
    <w:rsid w:val="000B0039"/>
    <w:rsid w:val="000B11FF"/>
    <w:rsid w:val="000B26A9"/>
    <w:rsid w:val="000B4ABC"/>
    <w:rsid w:val="000B68AE"/>
    <w:rsid w:val="000B6C70"/>
    <w:rsid w:val="000C0832"/>
    <w:rsid w:val="000C4C64"/>
    <w:rsid w:val="000C4E93"/>
    <w:rsid w:val="000C75E8"/>
    <w:rsid w:val="000D0162"/>
    <w:rsid w:val="000D0411"/>
    <w:rsid w:val="000D178F"/>
    <w:rsid w:val="000D5FC4"/>
    <w:rsid w:val="000E414D"/>
    <w:rsid w:val="000E47D0"/>
    <w:rsid w:val="000E4F1A"/>
    <w:rsid w:val="000E5178"/>
    <w:rsid w:val="000E7A46"/>
    <w:rsid w:val="000F52DD"/>
    <w:rsid w:val="000F5C03"/>
    <w:rsid w:val="001034C4"/>
    <w:rsid w:val="001034D4"/>
    <w:rsid w:val="00104F30"/>
    <w:rsid w:val="001051B7"/>
    <w:rsid w:val="001063ED"/>
    <w:rsid w:val="00106509"/>
    <w:rsid w:val="00110666"/>
    <w:rsid w:val="00116B5C"/>
    <w:rsid w:val="00124030"/>
    <w:rsid w:val="001313AF"/>
    <w:rsid w:val="00133415"/>
    <w:rsid w:val="00136534"/>
    <w:rsid w:val="0013666B"/>
    <w:rsid w:val="00137514"/>
    <w:rsid w:val="00140DD3"/>
    <w:rsid w:val="00141640"/>
    <w:rsid w:val="0014252D"/>
    <w:rsid w:val="001432A0"/>
    <w:rsid w:val="001449EF"/>
    <w:rsid w:val="00145DB4"/>
    <w:rsid w:val="0014719A"/>
    <w:rsid w:val="001523A3"/>
    <w:rsid w:val="00152A94"/>
    <w:rsid w:val="00152DE2"/>
    <w:rsid w:val="00154720"/>
    <w:rsid w:val="0015612C"/>
    <w:rsid w:val="00161410"/>
    <w:rsid w:val="00166EE2"/>
    <w:rsid w:val="00167AA0"/>
    <w:rsid w:val="00171574"/>
    <w:rsid w:val="00173217"/>
    <w:rsid w:val="001747F5"/>
    <w:rsid w:val="00177B09"/>
    <w:rsid w:val="00180254"/>
    <w:rsid w:val="00180C73"/>
    <w:rsid w:val="00183171"/>
    <w:rsid w:val="00183794"/>
    <w:rsid w:val="00183EBB"/>
    <w:rsid w:val="00183EED"/>
    <w:rsid w:val="00185C92"/>
    <w:rsid w:val="00187238"/>
    <w:rsid w:val="0019054A"/>
    <w:rsid w:val="00190616"/>
    <w:rsid w:val="00191CE5"/>
    <w:rsid w:val="00192B11"/>
    <w:rsid w:val="001938A8"/>
    <w:rsid w:val="001A1009"/>
    <w:rsid w:val="001A2EFA"/>
    <w:rsid w:val="001A59E4"/>
    <w:rsid w:val="001B0D58"/>
    <w:rsid w:val="001B22C0"/>
    <w:rsid w:val="001B56F1"/>
    <w:rsid w:val="001B7031"/>
    <w:rsid w:val="001C5F2D"/>
    <w:rsid w:val="001D0495"/>
    <w:rsid w:val="001D430B"/>
    <w:rsid w:val="001D53E8"/>
    <w:rsid w:val="001D70BE"/>
    <w:rsid w:val="001E08BC"/>
    <w:rsid w:val="001E31E2"/>
    <w:rsid w:val="001E354A"/>
    <w:rsid w:val="001E73BB"/>
    <w:rsid w:val="001E799B"/>
    <w:rsid w:val="001E7D1B"/>
    <w:rsid w:val="001F2D99"/>
    <w:rsid w:val="002041B9"/>
    <w:rsid w:val="0020738F"/>
    <w:rsid w:val="002145E8"/>
    <w:rsid w:val="00217AA5"/>
    <w:rsid w:val="0022113E"/>
    <w:rsid w:val="002245E5"/>
    <w:rsid w:val="00224E28"/>
    <w:rsid w:val="00225281"/>
    <w:rsid w:val="00227AF5"/>
    <w:rsid w:val="002328F0"/>
    <w:rsid w:val="00232A06"/>
    <w:rsid w:val="00232D96"/>
    <w:rsid w:val="002345BC"/>
    <w:rsid w:val="00234714"/>
    <w:rsid w:val="00234FCF"/>
    <w:rsid w:val="00235CC4"/>
    <w:rsid w:val="00237673"/>
    <w:rsid w:val="00237B6C"/>
    <w:rsid w:val="00241AF4"/>
    <w:rsid w:val="002439FC"/>
    <w:rsid w:val="00243B97"/>
    <w:rsid w:val="00246B81"/>
    <w:rsid w:val="0025139E"/>
    <w:rsid w:val="0025428C"/>
    <w:rsid w:val="00260512"/>
    <w:rsid w:val="00262605"/>
    <w:rsid w:val="00270286"/>
    <w:rsid w:val="00270E7B"/>
    <w:rsid w:val="002727BF"/>
    <w:rsid w:val="00272A64"/>
    <w:rsid w:val="00273141"/>
    <w:rsid w:val="00275124"/>
    <w:rsid w:val="00275F05"/>
    <w:rsid w:val="00276036"/>
    <w:rsid w:val="00277702"/>
    <w:rsid w:val="002828B7"/>
    <w:rsid w:val="002868C8"/>
    <w:rsid w:val="00290B12"/>
    <w:rsid w:val="002A06C9"/>
    <w:rsid w:val="002B2FE2"/>
    <w:rsid w:val="002B37BA"/>
    <w:rsid w:val="002B3812"/>
    <w:rsid w:val="002B60AA"/>
    <w:rsid w:val="002B7239"/>
    <w:rsid w:val="002C2D56"/>
    <w:rsid w:val="002C434B"/>
    <w:rsid w:val="002C6E56"/>
    <w:rsid w:val="002D0F53"/>
    <w:rsid w:val="002D2B03"/>
    <w:rsid w:val="002D409C"/>
    <w:rsid w:val="002D5BDB"/>
    <w:rsid w:val="002D6742"/>
    <w:rsid w:val="002E097F"/>
    <w:rsid w:val="002E4B85"/>
    <w:rsid w:val="002E5FEA"/>
    <w:rsid w:val="002E616C"/>
    <w:rsid w:val="002E6357"/>
    <w:rsid w:val="002F2B5D"/>
    <w:rsid w:val="002F33EB"/>
    <w:rsid w:val="002F3FAD"/>
    <w:rsid w:val="002F78D9"/>
    <w:rsid w:val="003008A3"/>
    <w:rsid w:val="00302614"/>
    <w:rsid w:val="0030506A"/>
    <w:rsid w:val="00313052"/>
    <w:rsid w:val="00313564"/>
    <w:rsid w:val="00314BB9"/>
    <w:rsid w:val="003156CE"/>
    <w:rsid w:val="00316981"/>
    <w:rsid w:val="003177D8"/>
    <w:rsid w:val="00323D9A"/>
    <w:rsid w:val="00324660"/>
    <w:rsid w:val="00331692"/>
    <w:rsid w:val="00334B53"/>
    <w:rsid w:val="00341ED7"/>
    <w:rsid w:val="003421C2"/>
    <w:rsid w:val="00342386"/>
    <w:rsid w:val="0034379B"/>
    <w:rsid w:val="00343AA0"/>
    <w:rsid w:val="00343C28"/>
    <w:rsid w:val="0034460A"/>
    <w:rsid w:val="003446CB"/>
    <w:rsid w:val="00344945"/>
    <w:rsid w:val="00345ACA"/>
    <w:rsid w:val="00345C47"/>
    <w:rsid w:val="003461BF"/>
    <w:rsid w:val="00350CFB"/>
    <w:rsid w:val="00352245"/>
    <w:rsid w:val="00352651"/>
    <w:rsid w:val="0035576B"/>
    <w:rsid w:val="00356B75"/>
    <w:rsid w:val="0036187E"/>
    <w:rsid w:val="00361D54"/>
    <w:rsid w:val="00361DB5"/>
    <w:rsid w:val="0036239B"/>
    <w:rsid w:val="00363212"/>
    <w:rsid w:val="003641AF"/>
    <w:rsid w:val="0036463C"/>
    <w:rsid w:val="003647DE"/>
    <w:rsid w:val="00367FD8"/>
    <w:rsid w:val="003702C2"/>
    <w:rsid w:val="003705BE"/>
    <w:rsid w:val="003725BA"/>
    <w:rsid w:val="003743C5"/>
    <w:rsid w:val="00374F0B"/>
    <w:rsid w:val="0037635B"/>
    <w:rsid w:val="0037672E"/>
    <w:rsid w:val="003812A3"/>
    <w:rsid w:val="00393645"/>
    <w:rsid w:val="00396694"/>
    <w:rsid w:val="00396F3E"/>
    <w:rsid w:val="003A0B2D"/>
    <w:rsid w:val="003A2439"/>
    <w:rsid w:val="003A3F08"/>
    <w:rsid w:val="003A4F70"/>
    <w:rsid w:val="003A58B1"/>
    <w:rsid w:val="003A717C"/>
    <w:rsid w:val="003A76EE"/>
    <w:rsid w:val="003B0126"/>
    <w:rsid w:val="003B06B8"/>
    <w:rsid w:val="003B0B41"/>
    <w:rsid w:val="003B38D9"/>
    <w:rsid w:val="003B4A48"/>
    <w:rsid w:val="003B4BDD"/>
    <w:rsid w:val="003B5E5D"/>
    <w:rsid w:val="003B7527"/>
    <w:rsid w:val="003C2BA8"/>
    <w:rsid w:val="003C4604"/>
    <w:rsid w:val="003C5625"/>
    <w:rsid w:val="003C6F85"/>
    <w:rsid w:val="003C781C"/>
    <w:rsid w:val="003D06B2"/>
    <w:rsid w:val="003D0E00"/>
    <w:rsid w:val="003D2A0A"/>
    <w:rsid w:val="003D7E46"/>
    <w:rsid w:val="003D7E5C"/>
    <w:rsid w:val="003E210C"/>
    <w:rsid w:val="003E2715"/>
    <w:rsid w:val="003E2F21"/>
    <w:rsid w:val="003E3451"/>
    <w:rsid w:val="003E5422"/>
    <w:rsid w:val="003E5458"/>
    <w:rsid w:val="003E5E42"/>
    <w:rsid w:val="003F1229"/>
    <w:rsid w:val="003F193F"/>
    <w:rsid w:val="003F32BB"/>
    <w:rsid w:val="003F6F73"/>
    <w:rsid w:val="00400451"/>
    <w:rsid w:val="00402DB7"/>
    <w:rsid w:val="0040686F"/>
    <w:rsid w:val="004142EE"/>
    <w:rsid w:val="0042137C"/>
    <w:rsid w:val="00422165"/>
    <w:rsid w:val="00425D01"/>
    <w:rsid w:val="004321B2"/>
    <w:rsid w:val="00432B54"/>
    <w:rsid w:val="00437E9A"/>
    <w:rsid w:val="00440C5E"/>
    <w:rsid w:val="00447D87"/>
    <w:rsid w:val="00451B3C"/>
    <w:rsid w:val="00452B5C"/>
    <w:rsid w:val="00452FD6"/>
    <w:rsid w:val="004535AD"/>
    <w:rsid w:val="0045379E"/>
    <w:rsid w:val="00457576"/>
    <w:rsid w:val="00457E7D"/>
    <w:rsid w:val="00460061"/>
    <w:rsid w:val="004600C9"/>
    <w:rsid w:val="00460A14"/>
    <w:rsid w:val="0046604A"/>
    <w:rsid w:val="00466EFE"/>
    <w:rsid w:val="00472882"/>
    <w:rsid w:val="004765C9"/>
    <w:rsid w:val="0047695E"/>
    <w:rsid w:val="00482E50"/>
    <w:rsid w:val="0048313A"/>
    <w:rsid w:val="00484E47"/>
    <w:rsid w:val="00485E3F"/>
    <w:rsid w:val="004908A4"/>
    <w:rsid w:val="00496C3E"/>
    <w:rsid w:val="00496E8F"/>
    <w:rsid w:val="00496F96"/>
    <w:rsid w:val="00497C19"/>
    <w:rsid w:val="004A004F"/>
    <w:rsid w:val="004A0191"/>
    <w:rsid w:val="004A5FDD"/>
    <w:rsid w:val="004B1530"/>
    <w:rsid w:val="004B1E41"/>
    <w:rsid w:val="004B326B"/>
    <w:rsid w:val="004C01C0"/>
    <w:rsid w:val="004C109C"/>
    <w:rsid w:val="004C1C8B"/>
    <w:rsid w:val="004C37BC"/>
    <w:rsid w:val="004C5117"/>
    <w:rsid w:val="004D0149"/>
    <w:rsid w:val="004D06C3"/>
    <w:rsid w:val="004D6DD8"/>
    <w:rsid w:val="004D78F8"/>
    <w:rsid w:val="004E2758"/>
    <w:rsid w:val="004E7C35"/>
    <w:rsid w:val="004F23BF"/>
    <w:rsid w:val="004F295A"/>
    <w:rsid w:val="004F30E9"/>
    <w:rsid w:val="004F31AC"/>
    <w:rsid w:val="004F4610"/>
    <w:rsid w:val="004F585F"/>
    <w:rsid w:val="004F5D9F"/>
    <w:rsid w:val="004F7ABE"/>
    <w:rsid w:val="00500BE0"/>
    <w:rsid w:val="005056C2"/>
    <w:rsid w:val="00507A3B"/>
    <w:rsid w:val="00510B75"/>
    <w:rsid w:val="00511E75"/>
    <w:rsid w:val="0051229A"/>
    <w:rsid w:val="00512C9B"/>
    <w:rsid w:val="00513CDF"/>
    <w:rsid w:val="00515D4D"/>
    <w:rsid w:val="005161EB"/>
    <w:rsid w:val="00520419"/>
    <w:rsid w:val="00520C86"/>
    <w:rsid w:val="00520D46"/>
    <w:rsid w:val="005240F7"/>
    <w:rsid w:val="00524E68"/>
    <w:rsid w:val="005255ED"/>
    <w:rsid w:val="00526F1A"/>
    <w:rsid w:val="00527AC7"/>
    <w:rsid w:val="005301E0"/>
    <w:rsid w:val="005306B3"/>
    <w:rsid w:val="00533BAC"/>
    <w:rsid w:val="005376CA"/>
    <w:rsid w:val="00537710"/>
    <w:rsid w:val="00541C90"/>
    <w:rsid w:val="00543275"/>
    <w:rsid w:val="00544021"/>
    <w:rsid w:val="00544BC5"/>
    <w:rsid w:val="00547304"/>
    <w:rsid w:val="00551904"/>
    <w:rsid w:val="00555A63"/>
    <w:rsid w:val="00560E24"/>
    <w:rsid w:val="0056280E"/>
    <w:rsid w:val="00571E48"/>
    <w:rsid w:val="00571F0E"/>
    <w:rsid w:val="00576CD4"/>
    <w:rsid w:val="00577625"/>
    <w:rsid w:val="00581D05"/>
    <w:rsid w:val="005825CB"/>
    <w:rsid w:val="00582758"/>
    <w:rsid w:val="005845FC"/>
    <w:rsid w:val="0058460C"/>
    <w:rsid w:val="005B247D"/>
    <w:rsid w:val="005B5EE9"/>
    <w:rsid w:val="005B794B"/>
    <w:rsid w:val="005C1B2B"/>
    <w:rsid w:val="005C5283"/>
    <w:rsid w:val="005C5F77"/>
    <w:rsid w:val="005C63ED"/>
    <w:rsid w:val="005D2E6A"/>
    <w:rsid w:val="005D41D5"/>
    <w:rsid w:val="005D4B77"/>
    <w:rsid w:val="005D4F78"/>
    <w:rsid w:val="005D5664"/>
    <w:rsid w:val="005D56EE"/>
    <w:rsid w:val="005D7501"/>
    <w:rsid w:val="005E181E"/>
    <w:rsid w:val="005E3106"/>
    <w:rsid w:val="005E530E"/>
    <w:rsid w:val="005E6827"/>
    <w:rsid w:val="005E6A65"/>
    <w:rsid w:val="005E725D"/>
    <w:rsid w:val="005E7DD8"/>
    <w:rsid w:val="005F1E87"/>
    <w:rsid w:val="005F5295"/>
    <w:rsid w:val="005F5D8D"/>
    <w:rsid w:val="005F6434"/>
    <w:rsid w:val="006040AC"/>
    <w:rsid w:val="006056B2"/>
    <w:rsid w:val="00605954"/>
    <w:rsid w:val="006079F6"/>
    <w:rsid w:val="00611EB7"/>
    <w:rsid w:val="0061453A"/>
    <w:rsid w:val="006209CD"/>
    <w:rsid w:val="00621779"/>
    <w:rsid w:val="00624F41"/>
    <w:rsid w:val="00633BC1"/>
    <w:rsid w:val="00637666"/>
    <w:rsid w:val="00642B14"/>
    <w:rsid w:val="00643979"/>
    <w:rsid w:val="00653BD0"/>
    <w:rsid w:val="0065664F"/>
    <w:rsid w:val="00656E5A"/>
    <w:rsid w:val="00660220"/>
    <w:rsid w:val="00662211"/>
    <w:rsid w:val="006638B4"/>
    <w:rsid w:val="006645A7"/>
    <w:rsid w:val="006648BD"/>
    <w:rsid w:val="006678B2"/>
    <w:rsid w:val="00671DAC"/>
    <w:rsid w:val="006730C8"/>
    <w:rsid w:val="0067431C"/>
    <w:rsid w:val="006758F2"/>
    <w:rsid w:val="00682BD0"/>
    <w:rsid w:val="00687424"/>
    <w:rsid w:val="006919DA"/>
    <w:rsid w:val="0069573E"/>
    <w:rsid w:val="00697761"/>
    <w:rsid w:val="006A283D"/>
    <w:rsid w:val="006A2989"/>
    <w:rsid w:val="006A2C95"/>
    <w:rsid w:val="006A3532"/>
    <w:rsid w:val="006A37B7"/>
    <w:rsid w:val="006A53B6"/>
    <w:rsid w:val="006A6524"/>
    <w:rsid w:val="006A76D6"/>
    <w:rsid w:val="006A7DE9"/>
    <w:rsid w:val="006B0E8F"/>
    <w:rsid w:val="006B21C1"/>
    <w:rsid w:val="006B2F37"/>
    <w:rsid w:val="006B315D"/>
    <w:rsid w:val="006B37BD"/>
    <w:rsid w:val="006B6572"/>
    <w:rsid w:val="006B7664"/>
    <w:rsid w:val="006B7F28"/>
    <w:rsid w:val="006C06EC"/>
    <w:rsid w:val="006C2958"/>
    <w:rsid w:val="006C2C76"/>
    <w:rsid w:val="006D1B1E"/>
    <w:rsid w:val="006D5E1E"/>
    <w:rsid w:val="006D63CD"/>
    <w:rsid w:val="006E0359"/>
    <w:rsid w:val="006F1576"/>
    <w:rsid w:val="006F2E7A"/>
    <w:rsid w:val="006F700E"/>
    <w:rsid w:val="006F7457"/>
    <w:rsid w:val="007003F0"/>
    <w:rsid w:val="00702493"/>
    <w:rsid w:val="00703887"/>
    <w:rsid w:val="00704DF8"/>
    <w:rsid w:val="00706AC0"/>
    <w:rsid w:val="007131CF"/>
    <w:rsid w:val="007149FE"/>
    <w:rsid w:val="007207C1"/>
    <w:rsid w:val="00720D4F"/>
    <w:rsid w:val="0072112D"/>
    <w:rsid w:val="00721FBD"/>
    <w:rsid w:val="00726AD5"/>
    <w:rsid w:val="007369A8"/>
    <w:rsid w:val="00740011"/>
    <w:rsid w:val="0074101A"/>
    <w:rsid w:val="00742414"/>
    <w:rsid w:val="00744FBA"/>
    <w:rsid w:val="0074511D"/>
    <w:rsid w:val="00745994"/>
    <w:rsid w:val="00745FE2"/>
    <w:rsid w:val="007503A5"/>
    <w:rsid w:val="0075129C"/>
    <w:rsid w:val="00752F85"/>
    <w:rsid w:val="007553A6"/>
    <w:rsid w:val="0075595C"/>
    <w:rsid w:val="00755B80"/>
    <w:rsid w:val="007633E6"/>
    <w:rsid w:val="00763F08"/>
    <w:rsid w:val="007673D7"/>
    <w:rsid w:val="00773424"/>
    <w:rsid w:val="00773976"/>
    <w:rsid w:val="00775C1C"/>
    <w:rsid w:val="0077719A"/>
    <w:rsid w:val="0078137D"/>
    <w:rsid w:val="00783DB5"/>
    <w:rsid w:val="00786958"/>
    <w:rsid w:val="00787B73"/>
    <w:rsid w:val="00795B5F"/>
    <w:rsid w:val="007A0185"/>
    <w:rsid w:val="007A1D3F"/>
    <w:rsid w:val="007A24DF"/>
    <w:rsid w:val="007A531A"/>
    <w:rsid w:val="007B15ED"/>
    <w:rsid w:val="007B3A3F"/>
    <w:rsid w:val="007B4C10"/>
    <w:rsid w:val="007B6032"/>
    <w:rsid w:val="007B62EE"/>
    <w:rsid w:val="007C3C22"/>
    <w:rsid w:val="007C6104"/>
    <w:rsid w:val="007D4921"/>
    <w:rsid w:val="007D6378"/>
    <w:rsid w:val="007E0140"/>
    <w:rsid w:val="007E12CE"/>
    <w:rsid w:val="007E1E1E"/>
    <w:rsid w:val="007E2CF5"/>
    <w:rsid w:val="007E49E4"/>
    <w:rsid w:val="007E4D67"/>
    <w:rsid w:val="007E7A52"/>
    <w:rsid w:val="007F0CBC"/>
    <w:rsid w:val="007F1D22"/>
    <w:rsid w:val="007F2FCA"/>
    <w:rsid w:val="007F68D0"/>
    <w:rsid w:val="007F6986"/>
    <w:rsid w:val="0080065A"/>
    <w:rsid w:val="0080228D"/>
    <w:rsid w:val="00803C8E"/>
    <w:rsid w:val="00806F3F"/>
    <w:rsid w:val="00814777"/>
    <w:rsid w:val="00815214"/>
    <w:rsid w:val="00817382"/>
    <w:rsid w:val="00817B8D"/>
    <w:rsid w:val="0082010D"/>
    <w:rsid w:val="00821ED8"/>
    <w:rsid w:val="00822207"/>
    <w:rsid w:val="00822D7A"/>
    <w:rsid w:val="008242AF"/>
    <w:rsid w:val="0082442C"/>
    <w:rsid w:val="00824934"/>
    <w:rsid w:val="0082644A"/>
    <w:rsid w:val="008277A6"/>
    <w:rsid w:val="00830759"/>
    <w:rsid w:val="008318CD"/>
    <w:rsid w:val="00831F2C"/>
    <w:rsid w:val="00832480"/>
    <w:rsid w:val="008342F8"/>
    <w:rsid w:val="00834468"/>
    <w:rsid w:val="00835AF9"/>
    <w:rsid w:val="00844850"/>
    <w:rsid w:val="008473F7"/>
    <w:rsid w:val="00850E1D"/>
    <w:rsid w:val="00852E79"/>
    <w:rsid w:val="0085320A"/>
    <w:rsid w:val="0085498D"/>
    <w:rsid w:val="00857EC7"/>
    <w:rsid w:val="00861009"/>
    <w:rsid w:val="0086427E"/>
    <w:rsid w:val="00864811"/>
    <w:rsid w:val="00866536"/>
    <w:rsid w:val="00867787"/>
    <w:rsid w:val="00876D41"/>
    <w:rsid w:val="00877672"/>
    <w:rsid w:val="008808C3"/>
    <w:rsid w:val="00880F75"/>
    <w:rsid w:val="00882749"/>
    <w:rsid w:val="008832AA"/>
    <w:rsid w:val="0088506A"/>
    <w:rsid w:val="0089157D"/>
    <w:rsid w:val="0089173F"/>
    <w:rsid w:val="0089287E"/>
    <w:rsid w:val="00892BA7"/>
    <w:rsid w:val="008932C7"/>
    <w:rsid w:val="00893D9F"/>
    <w:rsid w:val="0089447B"/>
    <w:rsid w:val="00895F34"/>
    <w:rsid w:val="008972EA"/>
    <w:rsid w:val="008A0F3B"/>
    <w:rsid w:val="008A20D3"/>
    <w:rsid w:val="008A3AE7"/>
    <w:rsid w:val="008A3C74"/>
    <w:rsid w:val="008B2B76"/>
    <w:rsid w:val="008B2CE9"/>
    <w:rsid w:val="008B460F"/>
    <w:rsid w:val="008B57DB"/>
    <w:rsid w:val="008B62E0"/>
    <w:rsid w:val="008C2D68"/>
    <w:rsid w:val="008C2FF5"/>
    <w:rsid w:val="008C3E75"/>
    <w:rsid w:val="008C651C"/>
    <w:rsid w:val="008D0C5D"/>
    <w:rsid w:val="008D3E02"/>
    <w:rsid w:val="008D6111"/>
    <w:rsid w:val="008D73A8"/>
    <w:rsid w:val="008D77CC"/>
    <w:rsid w:val="008D7BCE"/>
    <w:rsid w:val="008E3E91"/>
    <w:rsid w:val="008E4124"/>
    <w:rsid w:val="008F3C87"/>
    <w:rsid w:val="008F40DF"/>
    <w:rsid w:val="008F5532"/>
    <w:rsid w:val="008F62B7"/>
    <w:rsid w:val="008F6563"/>
    <w:rsid w:val="008F69D0"/>
    <w:rsid w:val="008F7B41"/>
    <w:rsid w:val="00900897"/>
    <w:rsid w:val="00903121"/>
    <w:rsid w:val="00905D99"/>
    <w:rsid w:val="009078B8"/>
    <w:rsid w:val="009109A9"/>
    <w:rsid w:val="009111A4"/>
    <w:rsid w:val="00911DE5"/>
    <w:rsid w:val="00912CF0"/>
    <w:rsid w:val="009138DD"/>
    <w:rsid w:val="00913F8B"/>
    <w:rsid w:val="00920419"/>
    <w:rsid w:val="0092070E"/>
    <w:rsid w:val="009207A4"/>
    <w:rsid w:val="00920F86"/>
    <w:rsid w:val="00921A55"/>
    <w:rsid w:val="0092284A"/>
    <w:rsid w:val="00922CC5"/>
    <w:rsid w:val="0092492F"/>
    <w:rsid w:val="0092496E"/>
    <w:rsid w:val="00927664"/>
    <w:rsid w:val="00927911"/>
    <w:rsid w:val="00931E59"/>
    <w:rsid w:val="009329DD"/>
    <w:rsid w:val="00933310"/>
    <w:rsid w:val="00934C7E"/>
    <w:rsid w:val="00935309"/>
    <w:rsid w:val="009362CC"/>
    <w:rsid w:val="00937A4C"/>
    <w:rsid w:val="0094350B"/>
    <w:rsid w:val="0094604E"/>
    <w:rsid w:val="0094678A"/>
    <w:rsid w:val="00954AA4"/>
    <w:rsid w:val="00954E68"/>
    <w:rsid w:val="009573B1"/>
    <w:rsid w:val="00963236"/>
    <w:rsid w:val="00963A79"/>
    <w:rsid w:val="00964FDD"/>
    <w:rsid w:val="00965CB1"/>
    <w:rsid w:val="00970622"/>
    <w:rsid w:val="0097153D"/>
    <w:rsid w:val="00971C6A"/>
    <w:rsid w:val="00972DE7"/>
    <w:rsid w:val="00975F8E"/>
    <w:rsid w:val="009804CE"/>
    <w:rsid w:val="0098367B"/>
    <w:rsid w:val="00985D8B"/>
    <w:rsid w:val="00994A99"/>
    <w:rsid w:val="0099590B"/>
    <w:rsid w:val="00996A37"/>
    <w:rsid w:val="009A3987"/>
    <w:rsid w:val="009B1A3D"/>
    <w:rsid w:val="009B53CD"/>
    <w:rsid w:val="009B5984"/>
    <w:rsid w:val="009C2692"/>
    <w:rsid w:val="009C2CB9"/>
    <w:rsid w:val="009C39F0"/>
    <w:rsid w:val="009D1B01"/>
    <w:rsid w:val="009D3E7E"/>
    <w:rsid w:val="009D59FF"/>
    <w:rsid w:val="009E32FF"/>
    <w:rsid w:val="009F0D72"/>
    <w:rsid w:val="009F1F30"/>
    <w:rsid w:val="009F3D51"/>
    <w:rsid w:val="009F49EF"/>
    <w:rsid w:val="009F6CDE"/>
    <w:rsid w:val="00A04A3C"/>
    <w:rsid w:val="00A051FF"/>
    <w:rsid w:val="00A054FF"/>
    <w:rsid w:val="00A0609F"/>
    <w:rsid w:val="00A0646F"/>
    <w:rsid w:val="00A0652E"/>
    <w:rsid w:val="00A06C6C"/>
    <w:rsid w:val="00A0731B"/>
    <w:rsid w:val="00A11402"/>
    <w:rsid w:val="00A13AB5"/>
    <w:rsid w:val="00A167F0"/>
    <w:rsid w:val="00A1733B"/>
    <w:rsid w:val="00A17A4E"/>
    <w:rsid w:val="00A20B11"/>
    <w:rsid w:val="00A22DAD"/>
    <w:rsid w:val="00A30C28"/>
    <w:rsid w:val="00A32B8C"/>
    <w:rsid w:val="00A36DE9"/>
    <w:rsid w:val="00A373B0"/>
    <w:rsid w:val="00A426EC"/>
    <w:rsid w:val="00A428BF"/>
    <w:rsid w:val="00A44834"/>
    <w:rsid w:val="00A52D58"/>
    <w:rsid w:val="00A5478A"/>
    <w:rsid w:val="00A6038A"/>
    <w:rsid w:val="00A60F46"/>
    <w:rsid w:val="00A6234F"/>
    <w:rsid w:val="00A66879"/>
    <w:rsid w:val="00A67DBA"/>
    <w:rsid w:val="00A73464"/>
    <w:rsid w:val="00A77B2D"/>
    <w:rsid w:val="00A832BD"/>
    <w:rsid w:val="00A84852"/>
    <w:rsid w:val="00A848C9"/>
    <w:rsid w:val="00A85C65"/>
    <w:rsid w:val="00A9040C"/>
    <w:rsid w:val="00A90732"/>
    <w:rsid w:val="00A91AC6"/>
    <w:rsid w:val="00AA0709"/>
    <w:rsid w:val="00AA37D4"/>
    <w:rsid w:val="00AA43AB"/>
    <w:rsid w:val="00AA43E9"/>
    <w:rsid w:val="00AA4D7A"/>
    <w:rsid w:val="00AA5457"/>
    <w:rsid w:val="00AA7120"/>
    <w:rsid w:val="00AB1A15"/>
    <w:rsid w:val="00AB2D3C"/>
    <w:rsid w:val="00AB3193"/>
    <w:rsid w:val="00AC5962"/>
    <w:rsid w:val="00AC6D03"/>
    <w:rsid w:val="00AC76A6"/>
    <w:rsid w:val="00AD0B8E"/>
    <w:rsid w:val="00AD1192"/>
    <w:rsid w:val="00AD25E1"/>
    <w:rsid w:val="00AD5651"/>
    <w:rsid w:val="00AE3EFF"/>
    <w:rsid w:val="00AE4D95"/>
    <w:rsid w:val="00AE5607"/>
    <w:rsid w:val="00AF573C"/>
    <w:rsid w:val="00B01AD1"/>
    <w:rsid w:val="00B0218F"/>
    <w:rsid w:val="00B040EA"/>
    <w:rsid w:val="00B061DE"/>
    <w:rsid w:val="00B06C4D"/>
    <w:rsid w:val="00B073DD"/>
    <w:rsid w:val="00B07CF6"/>
    <w:rsid w:val="00B10D21"/>
    <w:rsid w:val="00B11012"/>
    <w:rsid w:val="00B111A5"/>
    <w:rsid w:val="00B124A5"/>
    <w:rsid w:val="00B127AD"/>
    <w:rsid w:val="00B1380C"/>
    <w:rsid w:val="00B13A45"/>
    <w:rsid w:val="00B13AE2"/>
    <w:rsid w:val="00B1568A"/>
    <w:rsid w:val="00B16423"/>
    <w:rsid w:val="00B21EBB"/>
    <w:rsid w:val="00B24543"/>
    <w:rsid w:val="00B24DB4"/>
    <w:rsid w:val="00B30BC1"/>
    <w:rsid w:val="00B30D64"/>
    <w:rsid w:val="00B31152"/>
    <w:rsid w:val="00B31EDC"/>
    <w:rsid w:val="00B322AB"/>
    <w:rsid w:val="00B32852"/>
    <w:rsid w:val="00B328DB"/>
    <w:rsid w:val="00B40FC9"/>
    <w:rsid w:val="00B4123B"/>
    <w:rsid w:val="00B415D3"/>
    <w:rsid w:val="00B43959"/>
    <w:rsid w:val="00B4397A"/>
    <w:rsid w:val="00B4485C"/>
    <w:rsid w:val="00B535A1"/>
    <w:rsid w:val="00B539C0"/>
    <w:rsid w:val="00B558A4"/>
    <w:rsid w:val="00B5652F"/>
    <w:rsid w:val="00B60BC0"/>
    <w:rsid w:val="00B653C3"/>
    <w:rsid w:val="00B65474"/>
    <w:rsid w:val="00B667CD"/>
    <w:rsid w:val="00B66D33"/>
    <w:rsid w:val="00B724DE"/>
    <w:rsid w:val="00B72979"/>
    <w:rsid w:val="00B738AC"/>
    <w:rsid w:val="00B756F4"/>
    <w:rsid w:val="00B76EFE"/>
    <w:rsid w:val="00B80CEA"/>
    <w:rsid w:val="00B82D4F"/>
    <w:rsid w:val="00B84CC2"/>
    <w:rsid w:val="00B8705D"/>
    <w:rsid w:val="00B908A4"/>
    <w:rsid w:val="00B925F9"/>
    <w:rsid w:val="00B93AB0"/>
    <w:rsid w:val="00B94630"/>
    <w:rsid w:val="00B950DF"/>
    <w:rsid w:val="00B95A85"/>
    <w:rsid w:val="00B95E87"/>
    <w:rsid w:val="00BA1EFA"/>
    <w:rsid w:val="00BA572C"/>
    <w:rsid w:val="00BB11B7"/>
    <w:rsid w:val="00BB19E5"/>
    <w:rsid w:val="00BB1F04"/>
    <w:rsid w:val="00BB5B09"/>
    <w:rsid w:val="00BC2388"/>
    <w:rsid w:val="00BC2760"/>
    <w:rsid w:val="00BC5C77"/>
    <w:rsid w:val="00BD1A0B"/>
    <w:rsid w:val="00BD5FDE"/>
    <w:rsid w:val="00BE1090"/>
    <w:rsid w:val="00BE2D51"/>
    <w:rsid w:val="00BE442D"/>
    <w:rsid w:val="00BE5720"/>
    <w:rsid w:val="00BE7502"/>
    <w:rsid w:val="00BF58AF"/>
    <w:rsid w:val="00BF6048"/>
    <w:rsid w:val="00BF6F9D"/>
    <w:rsid w:val="00BF6FC3"/>
    <w:rsid w:val="00C01079"/>
    <w:rsid w:val="00C01C7B"/>
    <w:rsid w:val="00C0371C"/>
    <w:rsid w:val="00C0709D"/>
    <w:rsid w:val="00C14104"/>
    <w:rsid w:val="00C1432A"/>
    <w:rsid w:val="00C14EBC"/>
    <w:rsid w:val="00C15153"/>
    <w:rsid w:val="00C154B1"/>
    <w:rsid w:val="00C15848"/>
    <w:rsid w:val="00C15F73"/>
    <w:rsid w:val="00C201E7"/>
    <w:rsid w:val="00C20B4E"/>
    <w:rsid w:val="00C2142A"/>
    <w:rsid w:val="00C239BE"/>
    <w:rsid w:val="00C245F7"/>
    <w:rsid w:val="00C26536"/>
    <w:rsid w:val="00C26661"/>
    <w:rsid w:val="00C26764"/>
    <w:rsid w:val="00C30B43"/>
    <w:rsid w:val="00C328A9"/>
    <w:rsid w:val="00C33AEB"/>
    <w:rsid w:val="00C34528"/>
    <w:rsid w:val="00C345B5"/>
    <w:rsid w:val="00C34700"/>
    <w:rsid w:val="00C36696"/>
    <w:rsid w:val="00C36A85"/>
    <w:rsid w:val="00C37E69"/>
    <w:rsid w:val="00C40E69"/>
    <w:rsid w:val="00C41211"/>
    <w:rsid w:val="00C41FFC"/>
    <w:rsid w:val="00C4799B"/>
    <w:rsid w:val="00C509F0"/>
    <w:rsid w:val="00C534CE"/>
    <w:rsid w:val="00C53D3D"/>
    <w:rsid w:val="00C5435E"/>
    <w:rsid w:val="00C543E6"/>
    <w:rsid w:val="00C5648A"/>
    <w:rsid w:val="00C574AF"/>
    <w:rsid w:val="00C625C4"/>
    <w:rsid w:val="00C62EAB"/>
    <w:rsid w:val="00C633AE"/>
    <w:rsid w:val="00C64A01"/>
    <w:rsid w:val="00C6674B"/>
    <w:rsid w:val="00C67C5B"/>
    <w:rsid w:val="00C71326"/>
    <w:rsid w:val="00C74E25"/>
    <w:rsid w:val="00C757DA"/>
    <w:rsid w:val="00C77231"/>
    <w:rsid w:val="00C77264"/>
    <w:rsid w:val="00C77F41"/>
    <w:rsid w:val="00C81ABE"/>
    <w:rsid w:val="00C82D5A"/>
    <w:rsid w:val="00C910B7"/>
    <w:rsid w:val="00C911C1"/>
    <w:rsid w:val="00C92362"/>
    <w:rsid w:val="00C941E2"/>
    <w:rsid w:val="00C95362"/>
    <w:rsid w:val="00CA56E6"/>
    <w:rsid w:val="00CB03CC"/>
    <w:rsid w:val="00CB0979"/>
    <w:rsid w:val="00CB287A"/>
    <w:rsid w:val="00CB4677"/>
    <w:rsid w:val="00CB628A"/>
    <w:rsid w:val="00CB6FC7"/>
    <w:rsid w:val="00CC1D06"/>
    <w:rsid w:val="00CC3250"/>
    <w:rsid w:val="00CC3460"/>
    <w:rsid w:val="00CC4E3A"/>
    <w:rsid w:val="00CD0136"/>
    <w:rsid w:val="00CD249A"/>
    <w:rsid w:val="00CD29EB"/>
    <w:rsid w:val="00CD2AEF"/>
    <w:rsid w:val="00CD70E0"/>
    <w:rsid w:val="00CD7955"/>
    <w:rsid w:val="00CD7EB9"/>
    <w:rsid w:val="00CE08DA"/>
    <w:rsid w:val="00CE0C3D"/>
    <w:rsid w:val="00CE2DA2"/>
    <w:rsid w:val="00CE7185"/>
    <w:rsid w:val="00CF0D44"/>
    <w:rsid w:val="00CF247D"/>
    <w:rsid w:val="00CF2985"/>
    <w:rsid w:val="00CF4791"/>
    <w:rsid w:val="00CF5FB4"/>
    <w:rsid w:val="00CF6B88"/>
    <w:rsid w:val="00CF753E"/>
    <w:rsid w:val="00D057A5"/>
    <w:rsid w:val="00D07179"/>
    <w:rsid w:val="00D1100F"/>
    <w:rsid w:val="00D114A5"/>
    <w:rsid w:val="00D127AE"/>
    <w:rsid w:val="00D13FBB"/>
    <w:rsid w:val="00D14245"/>
    <w:rsid w:val="00D14EF8"/>
    <w:rsid w:val="00D17A4C"/>
    <w:rsid w:val="00D21AFC"/>
    <w:rsid w:val="00D23F07"/>
    <w:rsid w:val="00D24B24"/>
    <w:rsid w:val="00D25303"/>
    <w:rsid w:val="00D25A4E"/>
    <w:rsid w:val="00D30F27"/>
    <w:rsid w:val="00D3148D"/>
    <w:rsid w:val="00D32343"/>
    <w:rsid w:val="00D3331E"/>
    <w:rsid w:val="00D3638D"/>
    <w:rsid w:val="00D37671"/>
    <w:rsid w:val="00D5079D"/>
    <w:rsid w:val="00D52032"/>
    <w:rsid w:val="00D555E6"/>
    <w:rsid w:val="00D608E8"/>
    <w:rsid w:val="00D708D6"/>
    <w:rsid w:val="00D712C5"/>
    <w:rsid w:val="00D71506"/>
    <w:rsid w:val="00D723B1"/>
    <w:rsid w:val="00D72F7B"/>
    <w:rsid w:val="00D72FE9"/>
    <w:rsid w:val="00D82387"/>
    <w:rsid w:val="00D84058"/>
    <w:rsid w:val="00D86F19"/>
    <w:rsid w:val="00D8719F"/>
    <w:rsid w:val="00D90E28"/>
    <w:rsid w:val="00D94636"/>
    <w:rsid w:val="00D954FD"/>
    <w:rsid w:val="00D95F48"/>
    <w:rsid w:val="00D96D13"/>
    <w:rsid w:val="00D97CCC"/>
    <w:rsid w:val="00DA0C5E"/>
    <w:rsid w:val="00DA2E47"/>
    <w:rsid w:val="00DA4C85"/>
    <w:rsid w:val="00DC47C0"/>
    <w:rsid w:val="00DC76D7"/>
    <w:rsid w:val="00DD3E69"/>
    <w:rsid w:val="00DE01DD"/>
    <w:rsid w:val="00DE050D"/>
    <w:rsid w:val="00DE2450"/>
    <w:rsid w:val="00DE6CDE"/>
    <w:rsid w:val="00DF08F8"/>
    <w:rsid w:val="00DF14B9"/>
    <w:rsid w:val="00DF4A79"/>
    <w:rsid w:val="00DF7964"/>
    <w:rsid w:val="00E00178"/>
    <w:rsid w:val="00E03ACA"/>
    <w:rsid w:val="00E056AC"/>
    <w:rsid w:val="00E06C41"/>
    <w:rsid w:val="00E11EF8"/>
    <w:rsid w:val="00E11F8B"/>
    <w:rsid w:val="00E12B09"/>
    <w:rsid w:val="00E1492E"/>
    <w:rsid w:val="00E1639C"/>
    <w:rsid w:val="00E17356"/>
    <w:rsid w:val="00E17448"/>
    <w:rsid w:val="00E20FF2"/>
    <w:rsid w:val="00E219A4"/>
    <w:rsid w:val="00E22E6F"/>
    <w:rsid w:val="00E23C51"/>
    <w:rsid w:val="00E240CF"/>
    <w:rsid w:val="00E2792F"/>
    <w:rsid w:val="00E27A81"/>
    <w:rsid w:val="00E31F1E"/>
    <w:rsid w:val="00E327D8"/>
    <w:rsid w:val="00E35455"/>
    <w:rsid w:val="00E356CF"/>
    <w:rsid w:val="00E37EC1"/>
    <w:rsid w:val="00E41CE6"/>
    <w:rsid w:val="00E45CBF"/>
    <w:rsid w:val="00E47BB6"/>
    <w:rsid w:val="00E5147D"/>
    <w:rsid w:val="00E53AEA"/>
    <w:rsid w:val="00E542D9"/>
    <w:rsid w:val="00E54CD2"/>
    <w:rsid w:val="00E57074"/>
    <w:rsid w:val="00E57446"/>
    <w:rsid w:val="00E57502"/>
    <w:rsid w:val="00E6401A"/>
    <w:rsid w:val="00E70D73"/>
    <w:rsid w:val="00E7200D"/>
    <w:rsid w:val="00E73D8F"/>
    <w:rsid w:val="00E74B4D"/>
    <w:rsid w:val="00E764B1"/>
    <w:rsid w:val="00E80D4B"/>
    <w:rsid w:val="00E82B15"/>
    <w:rsid w:val="00E82FA6"/>
    <w:rsid w:val="00E838DE"/>
    <w:rsid w:val="00E85124"/>
    <w:rsid w:val="00E90D2C"/>
    <w:rsid w:val="00E91A21"/>
    <w:rsid w:val="00E92BF5"/>
    <w:rsid w:val="00E93DE6"/>
    <w:rsid w:val="00E95B9E"/>
    <w:rsid w:val="00E960A3"/>
    <w:rsid w:val="00EA2806"/>
    <w:rsid w:val="00EB0B77"/>
    <w:rsid w:val="00EB2799"/>
    <w:rsid w:val="00EB27B1"/>
    <w:rsid w:val="00EB47CF"/>
    <w:rsid w:val="00EB4EE1"/>
    <w:rsid w:val="00EB6A78"/>
    <w:rsid w:val="00EC05FE"/>
    <w:rsid w:val="00EC0EFC"/>
    <w:rsid w:val="00EC3E14"/>
    <w:rsid w:val="00EC405F"/>
    <w:rsid w:val="00EC6F74"/>
    <w:rsid w:val="00ED1861"/>
    <w:rsid w:val="00ED2AA4"/>
    <w:rsid w:val="00ED2C2F"/>
    <w:rsid w:val="00ED3744"/>
    <w:rsid w:val="00ED4628"/>
    <w:rsid w:val="00ED5EDD"/>
    <w:rsid w:val="00ED608E"/>
    <w:rsid w:val="00ED6240"/>
    <w:rsid w:val="00EE2D37"/>
    <w:rsid w:val="00EF2D10"/>
    <w:rsid w:val="00EF54B3"/>
    <w:rsid w:val="00EF7C87"/>
    <w:rsid w:val="00F02C22"/>
    <w:rsid w:val="00F06B64"/>
    <w:rsid w:val="00F06B99"/>
    <w:rsid w:val="00F06F21"/>
    <w:rsid w:val="00F12A90"/>
    <w:rsid w:val="00F139F5"/>
    <w:rsid w:val="00F14E70"/>
    <w:rsid w:val="00F15A97"/>
    <w:rsid w:val="00F15D65"/>
    <w:rsid w:val="00F160C8"/>
    <w:rsid w:val="00F21AE3"/>
    <w:rsid w:val="00F223FA"/>
    <w:rsid w:val="00F31220"/>
    <w:rsid w:val="00F31CEE"/>
    <w:rsid w:val="00F31FA4"/>
    <w:rsid w:val="00F341B0"/>
    <w:rsid w:val="00F3434F"/>
    <w:rsid w:val="00F34A43"/>
    <w:rsid w:val="00F432E2"/>
    <w:rsid w:val="00F4469C"/>
    <w:rsid w:val="00F456C2"/>
    <w:rsid w:val="00F46231"/>
    <w:rsid w:val="00F47C9B"/>
    <w:rsid w:val="00F51DE3"/>
    <w:rsid w:val="00F5620F"/>
    <w:rsid w:val="00F57178"/>
    <w:rsid w:val="00F60180"/>
    <w:rsid w:val="00F6413E"/>
    <w:rsid w:val="00F64D14"/>
    <w:rsid w:val="00F6718E"/>
    <w:rsid w:val="00F673D1"/>
    <w:rsid w:val="00F72FE3"/>
    <w:rsid w:val="00F74416"/>
    <w:rsid w:val="00F74F7A"/>
    <w:rsid w:val="00F7501A"/>
    <w:rsid w:val="00F75963"/>
    <w:rsid w:val="00F75F5F"/>
    <w:rsid w:val="00F76616"/>
    <w:rsid w:val="00F76A13"/>
    <w:rsid w:val="00F82EB1"/>
    <w:rsid w:val="00F84350"/>
    <w:rsid w:val="00F85A66"/>
    <w:rsid w:val="00F86E5D"/>
    <w:rsid w:val="00F8716A"/>
    <w:rsid w:val="00F871D1"/>
    <w:rsid w:val="00F9228D"/>
    <w:rsid w:val="00F92DF1"/>
    <w:rsid w:val="00F96D6D"/>
    <w:rsid w:val="00F971DF"/>
    <w:rsid w:val="00FA0D7C"/>
    <w:rsid w:val="00FA1CF1"/>
    <w:rsid w:val="00FA45E2"/>
    <w:rsid w:val="00FA5B2D"/>
    <w:rsid w:val="00FA6B93"/>
    <w:rsid w:val="00FB0E72"/>
    <w:rsid w:val="00FB418F"/>
    <w:rsid w:val="00FB4289"/>
    <w:rsid w:val="00FB7330"/>
    <w:rsid w:val="00FC02E3"/>
    <w:rsid w:val="00FC047F"/>
    <w:rsid w:val="00FC261C"/>
    <w:rsid w:val="00FC3900"/>
    <w:rsid w:val="00FC393B"/>
    <w:rsid w:val="00FC6AC3"/>
    <w:rsid w:val="00FD12C0"/>
    <w:rsid w:val="00FD1CF4"/>
    <w:rsid w:val="00FD3CF7"/>
    <w:rsid w:val="00FD45EE"/>
    <w:rsid w:val="00FE1102"/>
    <w:rsid w:val="00FE17F1"/>
    <w:rsid w:val="00FE27CA"/>
    <w:rsid w:val="00FE5885"/>
    <w:rsid w:val="00FE58CB"/>
    <w:rsid w:val="00FF1546"/>
    <w:rsid w:val="00FF1AE3"/>
    <w:rsid w:val="00FF4AC6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9BC71D2"/>
  <w15:chartTrackingRefBased/>
  <w15:docId w15:val="{977D657A-3D0D-4815-B9CF-02BB7B96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5A1"/>
    <w:pPr>
      <w:spacing w:before="120" w:line="240" w:lineRule="auto"/>
      <w:jc w:val="both"/>
    </w:pPr>
  </w:style>
  <w:style w:type="paragraph" w:styleId="Nadpis1">
    <w:name w:val="heading 1"/>
    <w:aliases w:val="Nadpis 1 - PP"/>
    <w:basedOn w:val="Normlny"/>
    <w:next w:val="Normlny"/>
    <w:link w:val="Nadpis1Char"/>
    <w:uiPriority w:val="9"/>
    <w:qFormat/>
    <w:rsid w:val="00B535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F12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F12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35A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heading 2,List Paragraph 1"/>
    <w:basedOn w:val="Normlny"/>
    <w:link w:val="OdsekzoznamuChar"/>
    <w:uiPriority w:val="34"/>
    <w:qFormat/>
    <w:rsid w:val="00D3331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41AF4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241AF4"/>
  </w:style>
  <w:style w:type="paragraph" w:styleId="Pta">
    <w:name w:val="footer"/>
    <w:basedOn w:val="Normlny"/>
    <w:link w:val="PtaChar"/>
    <w:uiPriority w:val="99"/>
    <w:unhideWhenUsed/>
    <w:rsid w:val="00241AF4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241AF4"/>
  </w:style>
  <w:style w:type="paragraph" w:customStyle="1" w:styleId="Prv-nadpis">
    <w:name w:val="Prvý - nadpis"/>
    <w:basedOn w:val="Odsekzoznamu"/>
    <w:link w:val="Prv-nadpisChar"/>
    <w:qFormat/>
    <w:rsid w:val="0022113E"/>
    <w:pPr>
      <w:numPr>
        <w:numId w:val="2"/>
      </w:numPr>
      <w:ind w:left="426"/>
    </w:pPr>
    <w:rPr>
      <w:b/>
      <w:sz w:val="28"/>
      <w:szCs w:val="28"/>
    </w:rPr>
  </w:style>
  <w:style w:type="character" w:customStyle="1" w:styleId="OdsekzoznamuChar">
    <w:name w:val="Odsek zoznamu Char"/>
    <w:aliases w:val="heading 2 Char,List Paragraph 1 Char"/>
    <w:basedOn w:val="Predvolenpsmoodseku"/>
    <w:link w:val="Odsekzoznamu"/>
    <w:uiPriority w:val="34"/>
    <w:rsid w:val="0022113E"/>
  </w:style>
  <w:style w:type="character" w:customStyle="1" w:styleId="Prv-nadpisChar">
    <w:name w:val="Prvý - nadpis Char"/>
    <w:basedOn w:val="OdsekzoznamuChar"/>
    <w:link w:val="Prv-nadpis"/>
    <w:rsid w:val="0022113E"/>
    <w:rPr>
      <w:b/>
      <w:sz w:val="28"/>
      <w:szCs w:val="28"/>
    </w:rPr>
  </w:style>
  <w:style w:type="character" w:customStyle="1" w:styleId="Nadpis1Char">
    <w:name w:val="Nadpis 1 Char"/>
    <w:aliases w:val="Nadpis 1 - PP Char"/>
    <w:basedOn w:val="Predvolenpsmoodseku"/>
    <w:link w:val="Nadpis1"/>
    <w:uiPriority w:val="9"/>
    <w:rsid w:val="00B535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A0F3B"/>
    <w:pPr>
      <w:spacing w:before="0"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A0F3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A0F3B"/>
    <w:rPr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3F12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3F12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3F1229"/>
    <w:pPr>
      <w:spacing w:after="100"/>
    </w:pPr>
  </w:style>
  <w:style w:type="table" w:styleId="Tabukasmriekou2zvraznenie5">
    <w:name w:val="Grid Table 2 Accent 5"/>
    <w:basedOn w:val="Normlnatabuka"/>
    <w:uiPriority w:val="47"/>
    <w:rsid w:val="005306B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kasmriekou4zvraznenie1">
    <w:name w:val="Grid Table 4 Accent 1"/>
    <w:basedOn w:val="Normlnatabuka"/>
    <w:uiPriority w:val="49"/>
    <w:rsid w:val="000B003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ypertextovprepojenie">
    <w:name w:val="Hyperlink"/>
    <w:basedOn w:val="Predvolenpsmoodseku"/>
    <w:uiPriority w:val="99"/>
    <w:unhideWhenUsed/>
    <w:rsid w:val="008F62B7"/>
    <w:rPr>
      <w:color w:val="0563C1" w:themeColor="hyperlink"/>
      <w:u w:val="single"/>
    </w:rPr>
  </w:style>
  <w:style w:type="table" w:styleId="Tabukasmriekou4zvraznenie3">
    <w:name w:val="Grid Table 4 Accent 3"/>
    <w:basedOn w:val="Normlnatabuka"/>
    <w:uiPriority w:val="49"/>
    <w:rsid w:val="0092070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Mriekatabuky">
    <w:name w:val="Table Grid"/>
    <w:basedOn w:val="Normlnatabuka"/>
    <w:uiPriority w:val="39"/>
    <w:rsid w:val="006C2C76"/>
    <w:pPr>
      <w:spacing w:after="0" w:line="240" w:lineRule="auto"/>
    </w:pPr>
    <w:rPr>
      <w:rFonts w:ascii="Times New Roman" w:hAnsi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4">
    <w:name w:val="Grid Table 4"/>
    <w:basedOn w:val="Normlnatabuka"/>
    <w:uiPriority w:val="49"/>
    <w:rsid w:val="00E5750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5tmavzvraznenie1">
    <w:name w:val="Grid Table 5 Dark Accent 1"/>
    <w:basedOn w:val="Normlnatabuka"/>
    <w:uiPriority w:val="50"/>
    <w:rsid w:val="002D40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ukasmriekou4zvraznenie5">
    <w:name w:val="Grid Table 4 Accent 5"/>
    <w:basedOn w:val="Normlnatabuka"/>
    <w:uiPriority w:val="49"/>
    <w:rsid w:val="002C2D5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jlqj4b">
    <w:name w:val="jlqj4b"/>
    <w:basedOn w:val="Predvolenpsmoodseku"/>
    <w:rsid w:val="00C543E6"/>
  </w:style>
  <w:style w:type="character" w:styleId="Odkaznakomentr">
    <w:name w:val="annotation reference"/>
    <w:basedOn w:val="Predvolenpsmoodseku"/>
    <w:uiPriority w:val="99"/>
    <w:semiHidden/>
    <w:unhideWhenUsed/>
    <w:rsid w:val="00E27A8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27A8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27A8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27A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27A8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7A8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7A81"/>
    <w:rPr>
      <w:rFonts w:ascii="Segoe UI" w:hAnsi="Segoe UI" w:cs="Segoe UI"/>
      <w:sz w:val="18"/>
      <w:szCs w:val="18"/>
    </w:rPr>
  </w:style>
  <w:style w:type="character" w:customStyle="1" w:styleId="q4iawc">
    <w:name w:val="q4iawc"/>
    <w:basedOn w:val="Predvolenpsmoodseku"/>
    <w:rsid w:val="00795B5F"/>
  </w:style>
  <w:style w:type="character" w:customStyle="1" w:styleId="Nadpis4Char">
    <w:name w:val="Nadpis 4 Char"/>
    <w:basedOn w:val="Predvolenpsmoodseku"/>
    <w:link w:val="Nadpis4"/>
    <w:uiPriority w:val="9"/>
    <w:rsid w:val="00835A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opis">
    <w:name w:val="caption"/>
    <w:basedOn w:val="Normlny"/>
    <w:next w:val="Normlny"/>
    <w:uiPriority w:val="35"/>
    <w:unhideWhenUsed/>
    <w:qFormat/>
    <w:rsid w:val="00543275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AA5457"/>
    <w:pPr>
      <w:spacing w:line="259" w:lineRule="auto"/>
      <w:jc w:val="left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AA5457"/>
    <w:pPr>
      <w:spacing w:before="0" w:after="100" w:line="259" w:lineRule="auto"/>
      <w:ind w:left="220"/>
      <w:jc w:val="left"/>
    </w:pPr>
    <w:rPr>
      <w:rFonts w:eastAsiaTheme="minorEastAsia" w:cs="Times New Roman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AA5457"/>
    <w:pPr>
      <w:spacing w:before="0" w:after="100" w:line="259" w:lineRule="auto"/>
      <w:ind w:left="440"/>
      <w:jc w:val="left"/>
    </w:pPr>
    <w:rPr>
      <w:rFonts w:eastAsiaTheme="minorEastAsia" w:cs="Times New Roman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730C8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BB5B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8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mhsr.sk/energetika/efektivna-sadzba-odvodu-do-narodneho-jadroveho-fondu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7.xml"/><Relationship Id="rId25" Type="http://schemas.openxmlformats.org/officeDocument/2006/relationships/chart" Target="charts/chart13.xml"/><Relationship Id="rId2" Type="http://schemas.openxmlformats.org/officeDocument/2006/relationships/numbering" Target="numbering.xml"/><Relationship Id="rId16" Type="http://schemas.openxmlformats.org/officeDocument/2006/relationships/hyperlink" Target="https://appsso.eurostat.ec.europa.eu/nui/show.do?dataset=nrg_bal_c&amp;lang=en" TargetMode="External"/><Relationship Id="rId20" Type="http://schemas.openxmlformats.org/officeDocument/2006/relationships/chart" Target="charts/chart10.xml"/><Relationship Id="rId29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1.xml"/><Relationship Id="rId28" Type="http://schemas.openxmlformats.org/officeDocument/2006/relationships/image" Target="media/image2.emf"/><Relationship Id="rId10" Type="http://schemas.openxmlformats.org/officeDocument/2006/relationships/chart" Target="charts/chart3.xml"/><Relationship Id="rId19" Type="http://schemas.openxmlformats.org/officeDocument/2006/relationships/chart" Target="charts/chart9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appsso.eurostat.ec.europa.eu/nui/show.do?dataset=nrg_bal_c&amp;lang=en" TargetMode="External"/><Relationship Id="rId22" Type="http://schemas.openxmlformats.org/officeDocument/2006/relationships/hyperlink" Target="https://www.mhsr.sk/energetika/efektivna-sadzba-odvodu-do-narodneho-jadroveho-fondu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nvirofond.sk/kompenzacie-2/" TargetMode="External"/><Relationship Id="rId7" Type="http://schemas.openxmlformats.org/officeDocument/2006/relationships/hyperlink" Target="https://ourworldindata.org/grapher/fossil-fuel-subsidies-gdp?tab=chart&amp;region=Europe" TargetMode="External"/><Relationship Id="rId2" Type="http://schemas.openxmlformats.org/officeDocument/2006/relationships/hyperlink" Target="https://www.slov-lex.sk/pravne-predpisy/SK/ZZ/2009/309/20090901.html" TargetMode="External"/><Relationship Id="rId1" Type="http://schemas.openxmlformats.org/officeDocument/2006/relationships/hyperlink" Target="https://wedocs.unep.org/bitstream/handle/20.500.11822/28111/FossilFuel.pdf?sequence=1&amp;isAllowed=y" TargetMode="External"/><Relationship Id="rId6" Type="http://schemas.openxmlformats.org/officeDocument/2006/relationships/hyperlink" Target="https://ourworldindata.org/" TargetMode="External"/><Relationship Id="rId5" Type="http://schemas.openxmlformats.org/officeDocument/2006/relationships/hyperlink" Target="https://www.nrsr.sk/web/Default.aspx?sid=zakony/zakon&amp;MasterID=8892" TargetMode="External"/><Relationship Id="rId4" Type="http://schemas.openxmlformats.org/officeDocument/2006/relationships/hyperlink" Target="https://www.slov-lex.sk/pravne-predpisy/SK/ZZ/2007/609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klak1.mh.sk\Utvar1080\Nov&#233;%20CpHO\Ludia\Miroslava%20Hrici&#353;&#237;nov&#225;\2021_12_Fos&#237;lne%20zdroje\Koment&#225;r%20IHA\Recenzn&#233;\D&#225;tov&#225;%20pr&#237;loha_dot&#225;cie%20FP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klak1.mh.sk\Utvar1080\Nov&#233;%20CpHO\Ludia\Miroslava%20Hrici&#353;&#237;nov&#225;\2021_12_Fos&#237;lne%20zdroje\Koment&#225;r%20IHA\Recenzn&#233;\K&#243;pia%20-%20K&#243;pia%20-%20D&#225;tov&#225;%20pr&#237;loha_dot&#225;cie%20FP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klak1.mh.sk\Utvar1080\Nov&#233;%20CpHO\Ludia\Miroslava%20Hrici&#353;&#237;nov&#225;\2021_12_Fos&#237;lne%20zdroje\03_22\Dodan&#233;%20d&#225;ta\Induced%20transfers_URSO.xlsx" TargetMode="Externa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chartUserShapes" Target="../drawings/drawing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klak1.mh.sk\Utvar1080\Nov&#233;%20CpHO\Ludia\Miroslava%20Hrici&#353;&#237;nov&#225;\2021_12_Fos&#237;lne%20zdroje\Koment&#225;r%20IHA\Recenzn&#233;\D&#225;tov&#225;%20pr&#237;loha_dot&#225;cie%20FP.xlsx" TargetMode="Externa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chartUserShapes" Target="../drawings/drawing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klak1.mh.sk\Utvar1080\Nov&#233;%20CpHO\Ludia\Miroslava%20Hrici&#353;&#237;nov&#225;\2021_12_Fos&#237;lne%20zdroje\Koment&#225;r%20IHA\Recenzn&#233;\K&#243;pia%20-%20K&#243;pia%20-%20D&#225;tov&#225;%20pr&#237;loha_dot&#225;cie%20FP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klak1.mh.sk\Utvar1080\Nov&#233;%20CpHO\Ludia\Miroslava%20Hrici&#353;&#237;nov&#225;\2021_12_Fos&#237;lne%20zdroje\Koment&#225;r%20IHA\Recenzn&#233;\D&#225;tov&#225;%20pr&#237;loha_dot&#225;cie%20FP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klak1.mh.sk\Utvar1080\Nov&#233;%20CpHO\Ludia\Miroslava%20Hrici&#353;&#237;nov&#225;\2021_12_Fos&#237;lne%20zdroje\Koment&#225;r%20IHA\Recenzn&#233;\D&#225;tov&#225;%20pr&#237;loha_dot&#225;cie%20FP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klak1.mh.sk\Utvar1080\Nov&#233;%20CpHO\Ludia\Miroslava%20Hrici&#353;&#237;nov&#225;\2021_12_Fos&#237;lne%20zdroje\Koment&#225;r%20IHA\Recenzn&#233;\K&#243;pia%20-%20K&#243;pia%20-%20D&#225;tov&#225;%20pr&#237;loha_dot&#225;cie%20FP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klak1.mh.sk\Utvar1080\Nov&#233;%20CpHO\Ludia\Miroslava%20Hrici&#353;&#237;nov&#225;\2021_12_Fos&#237;lne%20zdroje\Koment&#225;r%20IHA\Recenzn&#233;\K&#243;pia%20-%20K&#243;pia%20-%20D&#225;tov&#225;%20pr&#237;loha_dot&#225;cie%20FP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_rok_programu_Microsoft_Excel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klak1.mh.sk\Utvar1080\Nov&#233;%20CpHO\Ludia\Miroslava%20Hrici&#353;&#237;nov&#225;\2021_12_Fos&#237;lne%20zdroje\Koment&#225;r%20IHA\Recenzn&#233;\K&#243;pia%20-%20K&#243;pia%20-%20D&#225;tov&#225;%20pr&#237;loha_dot&#225;cie%20FP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klak1.mh.sk\Utvar1080\Nov&#233;%20CpHO\Ludia\Miroslava%20Hrici&#353;&#237;nov&#225;\2021_12_Fos&#237;lne%20zdroje\Koment&#225;r%20IHA\Recenzn&#233;\K&#243;pia%20-%20K&#243;pia%20-%20D&#225;tov&#225;%20pr&#237;loha_dot&#225;cie%20FP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klak1.mh.sk\Utvar1080\Nov&#233;%20CpHO\Ludia\Miroslava%20Hrici&#353;&#237;nov&#225;\2021_12_Fos&#237;lne%20zdroje\Koment&#225;r%20IHA\Recenzn&#233;\K&#243;pia%20-%20K&#243;pia%20-%20D&#225;tov&#225;%20pr&#237;loha_dot&#225;cie%20FP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592782296920712"/>
          <c:y val="7.0558050032071842E-2"/>
          <c:w val="0.80556060040455246"/>
          <c:h val="0.5473567247326925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INDIKÁTOR!$B$19</c:f>
              <c:strCache>
                <c:ptCount val="1"/>
                <c:pt idx="0">
                  <c:v>Priame dotácie</c:v>
                </c:pt>
              </c:strCache>
            </c:strRef>
          </c:tx>
          <c:spPr>
            <a:solidFill>
              <a:srgbClr val="0032C8"/>
            </a:solidFill>
            <a:ln>
              <a:noFill/>
            </a:ln>
            <a:effectLst/>
          </c:spPr>
          <c:invertIfNegative val="0"/>
          <c:cat>
            <c:strRef>
              <c:f>INDIKÁTOR!$C$18:$M$18</c:f>
              <c:strCach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 f</c:v>
                </c:pt>
              </c:strCache>
            </c:strRef>
          </c:cat>
          <c:val>
            <c:numRef>
              <c:f>INDIKÁTOR!$C$19:$M$19</c:f>
              <c:numCache>
                <c:formatCode>0.00</c:formatCode>
                <c:ptCount val="11"/>
                <c:pt idx="0">
                  <c:v>100.56968473999999</c:v>
                </c:pt>
                <c:pt idx="1">
                  <c:v>80.573541950000006</c:v>
                </c:pt>
                <c:pt idx="2">
                  <c:v>121.31968760999999</c:v>
                </c:pt>
                <c:pt idx="3">
                  <c:v>158.09216702000001</c:v>
                </c:pt>
                <c:pt idx="4">
                  <c:v>206.15826701999998</c:v>
                </c:pt>
                <c:pt idx="5">
                  <c:v>187.25282517790524</c:v>
                </c:pt>
                <c:pt idx="6">
                  <c:v>209.99738687726898</c:v>
                </c:pt>
                <c:pt idx="7">
                  <c:v>211.70409927720726</c:v>
                </c:pt>
                <c:pt idx="8">
                  <c:v>205.05040030458571</c:v>
                </c:pt>
                <c:pt idx="9">
                  <c:v>238.49198535434095</c:v>
                </c:pt>
                <c:pt idx="10">
                  <c:v>125.45512029370705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AE-4B6B-A358-8C88ADF71B20}"/>
            </c:ext>
          </c:extLst>
        </c:ser>
        <c:ser>
          <c:idx val="1"/>
          <c:order val="1"/>
          <c:tx>
            <c:strRef>
              <c:f>INDIKÁTOR!$B$20</c:f>
              <c:strCache>
                <c:ptCount val="1"/>
                <c:pt idx="0">
                  <c:v>Nepriame dotácie</c:v>
                </c:pt>
              </c:strCache>
            </c:strRef>
          </c:tx>
          <c:spPr>
            <a:solidFill>
              <a:srgbClr val="6E6E6E"/>
            </a:solidFill>
            <a:ln>
              <a:noFill/>
            </a:ln>
            <a:effectLst/>
          </c:spPr>
          <c:invertIfNegative val="0"/>
          <c:cat>
            <c:strRef>
              <c:f>INDIKÁTOR!$C$18:$M$18</c:f>
              <c:strCach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 f</c:v>
                </c:pt>
              </c:strCache>
            </c:strRef>
          </c:cat>
          <c:val>
            <c:numRef>
              <c:f>INDIKÁTOR!$C$20:$M$20</c:f>
              <c:numCache>
                <c:formatCode>General</c:formatCode>
                <c:ptCount val="11"/>
                <c:pt idx="0">
                  <c:v>-9.9389910438062251E-2</c:v>
                </c:pt>
                <c:pt idx="1">
                  <c:v>0</c:v>
                </c:pt>
                <c:pt idx="2">
                  <c:v>2.063201837586423E-16</c:v>
                </c:pt>
                <c:pt idx="3">
                  <c:v>-99.472039991984801</c:v>
                </c:pt>
                <c:pt idx="4">
                  <c:v>-142.0766218611912</c:v>
                </c:pt>
                <c:pt idx="5">
                  <c:v>-106.0061036799087</c:v>
                </c:pt>
                <c:pt idx="6">
                  <c:v>22.003509501187249</c:v>
                </c:pt>
                <c:pt idx="7">
                  <c:v>124.71583372320808</c:v>
                </c:pt>
                <c:pt idx="8">
                  <c:v>-48.615254235661951</c:v>
                </c:pt>
                <c:pt idx="9">
                  <c:v>-192.45159359244377</c:v>
                </c:pt>
                <c:pt idx="10">
                  <c:v>621.70052528876477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AE-4B6B-A358-8C88ADF71B20}"/>
            </c:ext>
          </c:extLst>
        </c:ser>
        <c:ser>
          <c:idx val="2"/>
          <c:order val="2"/>
          <c:tx>
            <c:strRef>
              <c:f>INDIKÁTOR!$B$21</c:f>
              <c:strCache>
                <c:ptCount val="1"/>
                <c:pt idx="0">
                  <c:v>Daňové výdavky</c:v>
                </c:pt>
              </c:strCache>
            </c:strRef>
          </c:tx>
          <c:spPr>
            <a:solidFill>
              <a:srgbClr val="3296FF"/>
            </a:solidFill>
            <a:ln>
              <a:noFill/>
            </a:ln>
            <a:effectLst/>
          </c:spPr>
          <c:invertIfNegative val="0"/>
          <c:cat>
            <c:strRef>
              <c:f>INDIKÁTOR!$C$18:$M$18</c:f>
              <c:strCach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 f</c:v>
                </c:pt>
              </c:strCache>
            </c:strRef>
          </c:cat>
          <c:val>
            <c:numRef>
              <c:f>INDIKÁTOR!$C$21:$M$21</c:f>
              <c:numCache>
                <c:formatCode>General</c:formatCode>
                <c:ptCount val="11"/>
                <c:pt idx="0">
                  <c:v>93.665777368880683</c:v>
                </c:pt>
                <c:pt idx="1">
                  <c:v>138.18918031403695</c:v>
                </c:pt>
                <c:pt idx="2">
                  <c:v>136.38328498428785</c:v>
                </c:pt>
                <c:pt idx="3">
                  <c:v>118.72055345254651</c:v>
                </c:pt>
                <c:pt idx="4">
                  <c:v>122.20820141438448</c:v>
                </c:pt>
                <c:pt idx="5">
                  <c:v>126.31335010180612</c:v>
                </c:pt>
                <c:pt idx="6">
                  <c:v>125.83619342328717</c:v>
                </c:pt>
                <c:pt idx="7">
                  <c:v>133.00753524708335</c:v>
                </c:pt>
                <c:pt idx="8">
                  <c:v>127.15226052132165</c:v>
                </c:pt>
                <c:pt idx="9">
                  <c:v>111.41028441895246</c:v>
                </c:pt>
                <c:pt idx="10">
                  <c:v>128.76825456670929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BAE-4B6B-A358-8C88ADF71B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78709432"/>
        <c:axId val="578709760"/>
      </c:barChart>
      <c:scatterChart>
        <c:scatterStyle val="lineMarker"/>
        <c:varyColors val="0"/>
        <c:ser>
          <c:idx val="3"/>
          <c:order val="3"/>
          <c:tx>
            <c:strRef>
              <c:f>INDIKÁTOR!$B$22</c:f>
              <c:strCache>
                <c:ptCount val="1"/>
                <c:pt idx="0">
                  <c:v>Spolu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3"/>
            <c:spPr>
              <a:solidFill>
                <a:schemeClr val="tx1">
                  <a:lumMod val="95000"/>
                  <a:lumOff val="5000"/>
                </a:schemeClr>
              </a:solidFill>
              <a:ln w="12700">
                <a:solidFill>
                  <a:schemeClr val="tx1">
                    <a:lumMod val="95000"/>
                    <a:lumOff val="5000"/>
                  </a:schemeClr>
                </a:solidFill>
              </a:ln>
              <a:effectLst/>
            </c:spPr>
          </c:marker>
          <c:yVal>
            <c:numRef>
              <c:f>INDIKÁTOR!$C$22:$M$22</c:f>
              <c:numCache>
                <c:formatCode>0.00</c:formatCode>
                <c:ptCount val="11"/>
                <c:pt idx="0">
                  <c:v>194.1360721984426</c:v>
                </c:pt>
                <c:pt idx="1">
                  <c:v>218.76272226403694</c:v>
                </c:pt>
                <c:pt idx="2">
                  <c:v>257.70297259428787</c:v>
                </c:pt>
                <c:pt idx="3">
                  <c:v>177.34068048056173</c:v>
                </c:pt>
                <c:pt idx="4">
                  <c:v>186.28984657319324</c:v>
                </c:pt>
                <c:pt idx="5">
                  <c:v>207.56007159980265</c:v>
                </c:pt>
                <c:pt idx="6">
                  <c:v>357.83708980174339</c:v>
                </c:pt>
                <c:pt idx="7">
                  <c:v>469.42746824749867</c:v>
                </c:pt>
                <c:pt idx="8">
                  <c:v>283.58740659024539</c:v>
                </c:pt>
                <c:pt idx="9">
                  <c:v>157.45067618084965</c:v>
                </c:pt>
                <c:pt idx="10">
                  <c:v>875.92390014918112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CBAE-4B6B-A358-8C88ADF71B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78709432"/>
        <c:axId val="578709760"/>
      </c:scatterChart>
      <c:catAx>
        <c:axId val="578709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egoe UI Semilight" panose="020B0402040204020203" pitchFamily="34" charset="0"/>
                <a:ea typeface="+mn-ea"/>
                <a:cs typeface="+mn-cs"/>
              </a:defRPr>
            </a:pPr>
            <a:endParaRPr lang="sk-SK"/>
          </a:p>
        </c:txPr>
        <c:crossAx val="578709760"/>
        <c:crosses val="autoZero"/>
        <c:auto val="1"/>
        <c:lblAlgn val="ctr"/>
        <c:lblOffset val="100"/>
        <c:noMultiLvlLbl val="0"/>
      </c:catAx>
      <c:valAx>
        <c:axId val="578709760"/>
        <c:scaling>
          <c:orientation val="minMax"/>
          <c:min val="-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egoe UI Semilight" panose="020B0402040204020203" pitchFamily="34" charset="0"/>
                <a:ea typeface="+mn-ea"/>
                <a:cs typeface="+mn-cs"/>
              </a:defRPr>
            </a:pPr>
            <a:endParaRPr lang="sk-SK"/>
          </a:p>
        </c:txPr>
        <c:crossAx val="578709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5238086970109988E-2"/>
          <c:y val="0.80831443535882586"/>
          <c:w val="0.88480462544166538"/>
          <c:h val="0.153199355532771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Segoe UI Semilight" panose="020B0402040204020203" pitchFamily="34" charset="0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584778060405075"/>
          <c:y val="3.5303829971362041E-2"/>
          <c:w val="0.82564064276970894"/>
          <c:h val="0.7396308379023121"/>
        </c:manualLayout>
      </c:layout>
      <c:barChart>
        <c:barDir val="col"/>
        <c:grouping val="stacked"/>
        <c:varyColors val="0"/>
        <c:ser>
          <c:idx val="1"/>
          <c:order val="1"/>
          <c:tx>
            <c:strRef>
              <c:f>'output_nepriame dotácie'!$B$24</c:f>
              <c:strCache>
                <c:ptCount val="1"/>
                <c:pt idx="0">
                  <c:v>Regulované subjekty</c:v>
                </c:pt>
              </c:strCache>
            </c:strRef>
          </c:tx>
          <c:spPr>
            <a:solidFill>
              <a:srgbClr val="6E6E6E"/>
            </a:solidFill>
            <a:ln>
              <a:noFill/>
            </a:ln>
            <a:effectLst/>
          </c:spPr>
          <c:invertIfNegative val="0"/>
          <c:cat>
            <c:numRef>
              <c:f>'output_nepriame dotácie'!$F$22:$M$22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'output_nepriame dotácie'!$F$24:$M$24</c:f>
              <c:numCache>
                <c:formatCode>General</c:formatCode>
                <c:ptCount val="8"/>
                <c:pt idx="0">
                  <c:v>-102.07955943733391</c:v>
                </c:pt>
                <c:pt idx="1">
                  <c:v>-144.81844511157684</c:v>
                </c:pt>
                <c:pt idx="2">
                  <c:v>-108.8480001207503</c:v>
                </c:pt>
                <c:pt idx="3">
                  <c:v>19.226756738764948</c:v>
                </c:pt>
                <c:pt idx="4">
                  <c:v>94.368958164099681</c:v>
                </c:pt>
                <c:pt idx="5">
                  <c:v>-78.195365129543617</c:v>
                </c:pt>
                <c:pt idx="6">
                  <c:v>-217.300149471373</c:v>
                </c:pt>
                <c:pt idx="7">
                  <c:v>599.70271551737039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FB-4D72-9BF1-2BA6D8BA2A4B}"/>
            </c:ext>
          </c:extLst>
        </c:ser>
        <c:ser>
          <c:idx val="2"/>
          <c:order val="2"/>
          <c:tx>
            <c:strRef>
              <c:f>'output_nepriame dotácie'!$B$25</c:f>
              <c:strCache>
                <c:ptCount val="1"/>
                <c:pt idx="0">
                  <c:v>Priemysel</c:v>
                </c:pt>
              </c:strCache>
            </c:strRef>
          </c:tx>
          <c:spPr>
            <a:solidFill>
              <a:srgbClr val="3296FF"/>
            </a:solidFill>
            <a:ln>
              <a:noFill/>
            </a:ln>
            <a:effectLst/>
          </c:spPr>
          <c:invertIfNegative val="0"/>
          <c:cat>
            <c:numRef>
              <c:f>'output_nepriame dotácie'!$F$22:$M$22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'output_nepriame dotácie'!$F$25:$M$25</c:f>
              <c:numCache>
                <c:formatCode>General</c:formatCode>
                <c:ptCount val="8"/>
                <c:pt idx="0">
                  <c:v>2.6075194453491166</c:v>
                </c:pt>
                <c:pt idx="1">
                  <c:v>2.7418232503856368</c:v>
                </c:pt>
                <c:pt idx="2">
                  <c:v>2.8418964408415901</c:v>
                </c:pt>
                <c:pt idx="3">
                  <c:v>2.7767527624223018</c:v>
                </c:pt>
                <c:pt idx="4">
                  <c:v>30.346875559108398</c:v>
                </c:pt>
                <c:pt idx="5">
                  <c:v>29.580110893881663</c:v>
                </c:pt>
                <c:pt idx="6">
                  <c:v>24.848555878929201</c:v>
                </c:pt>
                <c:pt idx="7">
                  <c:v>21.997809771394358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FB-4D72-9BF1-2BA6D8BA2A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91420064"/>
        <c:axId val="79141481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'output_nepriame dotácie'!$B$23</c15:sqref>
                        </c15:formulaRef>
                      </c:ext>
                    </c:extLst>
                    <c:strCache>
                      <c:ptCount val="1"/>
                      <c:pt idx="0">
                        <c:v>Výroba elektriny a tepla</c:v>
                      </c:pt>
                    </c:strCache>
                  </c:strRef>
                </c:tx>
                <c:spPr>
                  <a:solidFill>
                    <a:srgbClr val="0032C8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'output_nepriame dotácie'!$F$22:$M$22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2014</c:v>
                      </c:pt>
                      <c:pt idx="1">
                        <c:v>2015</c:v>
                      </c:pt>
                      <c:pt idx="2">
                        <c:v>2016</c:v>
                      </c:pt>
                      <c:pt idx="3">
                        <c:v>2017</c:v>
                      </c:pt>
                      <c:pt idx="4">
                        <c:v>2018</c:v>
                      </c:pt>
                      <c:pt idx="5">
                        <c:v>2019</c:v>
                      </c:pt>
                      <c:pt idx="6">
                        <c:v>2020</c:v>
                      </c:pt>
                      <c:pt idx="7">
                        <c:v>2021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'output_nepriame dotácie'!$F$23:$M$23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0</c:v>
                      </c:pt>
                      <c:pt idx="7">
                        <c:v>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44FB-4D72-9BF1-2BA6D8BA2A4B}"/>
                  </c:ext>
                </c:extLst>
              </c15:ser>
            </c15:filteredBarSeries>
          </c:ext>
        </c:extLst>
      </c:barChart>
      <c:catAx>
        <c:axId val="791420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egoe UI Semilight" panose="020B0402040204020203" pitchFamily="34" charset="0"/>
                <a:ea typeface="+mn-ea"/>
                <a:cs typeface="+mn-cs"/>
              </a:defRPr>
            </a:pPr>
            <a:endParaRPr lang="sk-SK"/>
          </a:p>
        </c:txPr>
        <c:crossAx val="791414816"/>
        <c:crosses val="autoZero"/>
        <c:auto val="1"/>
        <c:lblAlgn val="ctr"/>
        <c:lblOffset val="100"/>
        <c:noMultiLvlLbl val="0"/>
      </c:catAx>
      <c:valAx>
        <c:axId val="791414816"/>
        <c:scaling>
          <c:orientation val="minMax"/>
          <c:max val="650"/>
          <c:min val="-2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egoe UI Semilight" panose="020B0402040204020203" pitchFamily="34" charset="0"/>
                <a:ea typeface="+mn-ea"/>
                <a:cs typeface="+mn-cs"/>
              </a:defRPr>
            </a:pPr>
            <a:endParaRPr lang="sk-SK"/>
          </a:p>
        </c:txPr>
        <c:crossAx val="791420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308935749073263"/>
          <c:y val="0.87948428897580866"/>
          <c:w val="0.61618071169990185"/>
          <c:h val="0.113285053034314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Segoe UI Semilight" panose="020B0402040204020203" pitchFamily="34" charset="0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634323487341861"/>
          <c:y val="2.2843432124632489E-2"/>
          <c:w val="0.86966941632295958"/>
          <c:h val="0.787951742083741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Hárok1!$O$27</c:f>
              <c:strCache>
                <c:ptCount val="1"/>
                <c:pt idx="0">
                  <c:v>Rozdiel cien silovej elektriny</c:v>
                </c:pt>
              </c:strCache>
            </c:strRef>
          </c:tx>
          <c:spPr>
            <a:solidFill>
              <a:srgbClr val="0032C8"/>
            </a:solidFill>
            <a:ln>
              <a:noFill/>
            </a:ln>
            <a:effectLst/>
          </c:spPr>
          <c:invertIfNegative val="0"/>
          <c:cat>
            <c:numRef>
              <c:f>Hárok1!$P$26:$W$26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Hárok1!$P$27:$W$27</c:f>
              <c:numCache>
                <c:formatCode>General</c:formatCode>
                <c:ptCount val="8"/>
                <c:pt idx="3">
                  <c:v>14.011000000000003</c:v>
                </c:pt>
                <c:pt idx="4">
                  <c:v>16.697699999999998</c:v>
                </c:pt>
                <c:pt idx="5">
                  <c:v>1.009999999999998</c:v>
                </c:pt>
                <c:pt idx="6">
                  <c:v>-17.8429</c:v>
                </c:pt>
                <c:pt idx="7">
                  <c:v>56.6419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39-4D92-A528-9374AAB0F316}"/>
            </c:ext>
          </c:extLst>
        </c:ser>
        <c:ser>
          <c:idx val="2"/>
          <c:order val="2"/>
          <c:tx>
            <c:strRef>
              <c:f>Hárok1!$O$29</c:f>
              <c:strCache>
                <c:ptCount val="1"/>
                <c:pt idx="0">
                  <c:v>Rozdiel cien ZP v cene tepla</c:v>
                </c:pt>
              </c:strCache>
            </c:strRef>
          </c:tx>
          <c:spPr>
            <a:solidFill>
              <a:srgbClr val="A0A0A0"/>
            </a:solidFill>
            <a:ln>
              <a:noFill/>
            </a:ln>
            <a:effectLst/>
          </c:spPr>
          <c:invertIfNegative val="0"/>
          <c:cat>
            <c:numRef>
              <c:f>Hárok1!$P$26:$W$26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Hárok1!$P$29:$W$29</c:f>
              <c:numCache>
                <c:formatCode>General</c:formatCode>
                <c:ptCount val="8"/>
                <c:pt idx="0">
                  <c:v>-7.5290999999999997</c:v>
                </c:pt>
                <c:pt idx="1">
                  <c:v>-8.0362000000000009</c:v>
                </c:pt>
                <c:pt idx="2">
                  <c:v>-8.9997999999999987</c:v>
                </c:pt>
                <c:pt idx="3">
                  <c:v>-1.4665999999999997</c:v>
                </c:pt>
                <c:pt idx="4">
                  <c:v>1.4959000000000024</c:v>
                </c:pt>
                <c:pt idx="5">
                  <c:v>-8.5684000000000005</c:v>
                </c:pt>
                <c:pt idx="6">
                  <c:v>-9.1471999999999998</c:v>
                </c:pt>
                <c:pt idx="7">
                  <c:v>18.224799999999995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39-4D92-A528-9374AAB0F316}"/>
            </c:ext>
          </c:extLst>
        </c:ser>
        <c:ser>
          <c:idx val="4"/>
          <c:order val="4"/>
          <c:tx>
            <c:strRef>
              <c:f>Hárok1!$O$31</c:f>
              <c:strCache>
                <c:ptCount val="1"/>
                <c:pt idx="0">
                  <c:v>Rozdiel cien ČU v cene tepla</c:v>
                </c:pt>
              </c:strCache>
            </c:strRef>
          </c:tx>
          <c:spPr>
            <a:solidFill>
              <a:srgbClr val="3296FF"/>
            </a:solidFill>
            <a:ln>
              <a:noFill/>
            </a:ln>
            <a:effectLst/>
          </c:spPr>
          <c:invertIfNegative val="0"/>
          <c:cat>
            <c:numRef>
              <c:f>Hárok1!$P$26:$W$26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Hárok1!$P$31:$W$31</c:f>
              <c:numCache>
                <c:formatCode>General</c:formatCode>
                <c:ptCount val="8"/>
                <c:pt idx="0">
                  <c:v>-8.3000000000000007</c:v>
                </c:pt>
                <c:pt idx="1">
                  <c:v>-8.6999999999999993</c:v>
                </c:pt>
                <c:pt idx="2">
                  <c:v>-9</c:v>
                </c:pt>
                <c:pt idx="3">
                  <c:v>-4.18</c:v>
                </c:pt>
                <c:pt idx="4">
                  <c:v>-2.7899999999999991</c:v>
                </c:pt>
                <c:pt idx="5">
                  <c:v>-2.67</c:v>
                </c:pt>
                <c:pt idx="6">
                  <c:v>-1.9299999999999997</c:v>
                </c:pt>
                <c:pt idx="7">
                  <c:v>-2.9000000000000004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39-4D92-A528-9374AAB0F316}"/>
            </c:ext>
          </c:extLst>
        </c:ser>
        <c:ser>
          <c:idx val="6"/>
          <c:order val="6"/>
          <c:tx>
            <c:strRef>
              <c:f>Hárok1!$O$33</c:f>
              <c:strCache>
                <c:ptCount val="1"/>
                <c:pt idx="0">
                  <c:v>Rozdiel cien HU v cene tepla</c:v>
                </c:pt>
              </c:strCache>
            </c:strRef>
          </c:tx>
          <c:spPr>
            <a:solidFill>
              <a:srgbClr val="6E6E6E"/>
            </a:solidFill>
            <a:ln>
              <a:noFill/>
            </a:ln>
            <a:effectLst/>
          </c:spPr>
          <c:invertIfNegative val="0"/>
          <c:cat>
            <c:numRef>
              <c:f>Hárok1!$P$26:$W$26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Hárok1!$P$33:$W$33</c:f>
              <c:numCache>
                <c:formatCode>General</c:formatCode>
                <c:ptCount val="8"/>
                <c:pt idx="0">
                  <c:v>-2.5</c:v>
                </c:pt>
                <c:pt idx="1">
                  <c:v>-3.8000000000000007</c:v>
                </c:pt>
                <c:pt idx="2">
                  <c:v>-3.3000000000000007</c:v>
                </c:pt>
                <c:pt idx="3">
                  <c:v>-2.2600000000000016</c:v>
                </c:pt>
                <c:pt idx="4">
                  <c:v>-2.4499999999999993</c:v>
                </c:pt>
                <c:pt idx="5">
                  <c:v>-1.3900000000000006</c:v>
                </c:pt>
                <c:pt idx="6">
                  <c:v>-2.129999999999999</c:v>
                </c:pt>
                <c:pt idx="7">
                  <c:v>-2.6499999999999986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C39-4D92-A528-9374AAB0F316}"/>
            </c:ext>
          </c:extLst>
        </c:ser>
        <c:ser>
          <c:idx val="8"/>
          <c:order val="8"/>
          <c:tx>
            <c:strRef>
              <c:f>Hárok1!$O$35</c:f>
              <c:strCache>
                <c:ptCount val="1"/>
                <c:pt idx="0">
                  <c:v>Rozdiel cien ZP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numRef>
              <c:f>Hárok1!$P$26:$W$26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Hárok1!$P$35:$W$35</c:f>
              <c:numCache>
                <c:formatCode>General</c:formatCode>
                <c:ptCount val="8"/>
                <c:pt idx="0">
                  <c:v>-2.2569999999999979</c:v>
                </c:pt>
                <c:pt idx="1">
                  <c:v>-4.5249999999999986</c:v>
                </c:pt>
                <c:pt idx="2">
                  <c:v>-1.8259999999999987</c:v>
                </c:pt>
                <c:pt idx="3">
                  <c:v>0.97700000000000031</c:v>
                </c:pt>
                <c:pt idx="4">
                  <c:v>3.9200000000000017</c:v>
                </c:pt>
                <c:pt idx="5">
                  <c:v>-0.13800000000000168</c:v>
                </c:pt>
                <c:pt idx="6">
                  <c:v>-6.6800000000000015</c:v>
                </c:pt>
                <c:pt idx="7">
                  <c:v>19.316999999999997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C39-4D92-A528-9374AAB0F3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577109336"/>
        <c:axId val="577110648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Hárok1!$O$28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Hárok1!$P$26:$W$26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2014</c:v>
                      </c:pt>
                      <c:pt idx="1">
                        <c:v>2015</c:v>
                      </c:pt>
                      <c:pt idx="2">
                        <c:v>2016</c:v>
                      </c:pt>
                      <c:pt idx="3">
                        <c:v>2017</c:v>
                      </c:pt>
                      <c:pt idx="4">
                        <c:v>2018</c:v>
                      </c:pt>
                      <c:pt idx="5">
                        <c:v>2019</c:v>
                      </c:pt>
                      <c:pt idx="6">
                        <c:v>2020</c:v>
                      </c:pt>
                      <c:pt idx="7">
                        <c:v>2021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Hárok1!$P$28:$W$28</c15:sqref>
                        </c15:formulaRef>
                      </c:ext>
                    </c:extLst>
                    <c:numCache>
                      <c:formatCode>General</c:formatCode>
                      <c:ptCount val="8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5-3C39-4D92-A528-9374AAB0F316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Hárok1!$O$30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Hárok1!$P$26:$W$26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2014</c:v>
                      </c:pt>
                      <c:pt idx="1">
                        <c:v>2015</c:v>
                      </c:pt>
                      <c:pt idx="2">
                        <c:v>2016</c:v>
                      </c:pt>
                      <c:pt idx="3">
                        <c:v>2017</c:v>
                      </c:pt>
                      <c:pt idx="4">
                        <c:v>2018</c:v>
                      </c:pt>
                      <c:pt idx="5">
                        <c:v>2019</c:v>
                      </c:pt>
                      <c:pt idx="6">
                        <c:v>2020</c:v>
                      </c:pt>
                      <c:pt idx="7">
                        <c:v>2021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Hárok1!$P$30:$W$30</c15:sqref>
                        </c15:formulaRef>
                      </c:ext>
                    </c:extLst>
                    <c:numCache>
                      <c:formatCode>General</c:formatCode>
                      <c:ptCount val="8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3C39-4D92-A528-9374AAB0F316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Hárok1!$O$32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6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Hárok1!$P$26:$W$26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2014</c:v>
                      </c:pt>
                      <c:pt idx="1">
                        <c:v>2015</c:v>
                      </c:pt>
                      <c:pt idx="2">
                        <c:v>2016</c:v>
                      </c:pt>
                      <c:pt idx="3">
                        <c:v>2017</c:v>
                      </c:pt>
                      <c:pt idx="4">
                        <c:v>2018</c:v>
                      </c:pt>
                      <c:pt idx="5">
                        <c:v>2019</c:v>
                      </c:pt>
                      <c:pt idx="6">
                        <c:v>2020</c:v>
                      </c:pt>
                      <c:pt idx="7">
                        <c:v>2021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Hárok1!$P$32:$W$32</c15:sqref>
                        </c15:formulaRef>
                      </c:ext>
                    </c:extLst>
                    <c:numCache>
                      <c:formatCode>General</c:formatCode>
                      <c:ptCount val="8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3C39-4D92-A528-9374AAB0F316}"/>
                  </c:ext>
                </c:extLst>
              </c15:ser>
            </c15:filteredBarSeries>
            <c15:filteredBar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Hárok1!$O$34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Hárok1!$P$26:$W$26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2014</c:v>
                      </c:pt>
                      <c:pt idx="1">
                        <c:v>2015</c:v>
                      </c:pt>
                      <c:pt idx="2">
                        <c:v>2016</c:v>
                      </c:pt>
                      <c:pt idx="3">
                        <c:v>2017</c:v>
                      </c:pt>
                      <c:pt idx="4">
                        <c:v>2018</c:v>
                      </c:pt>
                      <c:pt idx="5">
                        <c:v>2019</c:v>
                      </c:pt>
                      <c:pt idx="6">
                        <c:v>2020</c:v>
                      </c:pt>
                      <c:pt idx="7">
                        <c:v>2021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Hárok1!$P$34:$W$34</c15:sqref>
                        </c15:formulaRef>
                      </c:ext>
                    </c:extLst>
                    <c:numCache>
                      <c:formatCode>General</c:formatCode>
                      <c:ptCount val="8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3C39-4D92-A528-9374AAB0F316}"/>
                  </c:ext>
                </c:extLst>
              </c15:ser>
            </c15:filteredBarSeries>
          </c:ext>
        </c:extLst>
      </c:barChart>
      <c:catAx>
        <c:axId val="577109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egoe UI Semilight" panose="020B0402040204020203" pitchFamily="34" charset="0"/>
                <a:ea typeface="+mn-ea"/>
                <a:cs typeface="+mn-cs"/>
              </a:defRPr>
            </a:pPr>
            <a:endParaRPr lang="sk-SK"/>
          </a:p>
        </c:txPr>
        <c:crossAx val="577110648"/>
        <c:crosses val="autoZero"/>
        <c:auto val="1"/>
        <c:lblAlgn val="ctr"/>
        <c:lblOffset val="100"/>
        <c:noMultiLvlLbl val="0"/>
      </c:catAx>
      <c:valAx>
        <c:axId val="577110648"/>
        <c:scaling>
          <c:orientation val="minMax"/>
          <c:max val="25"/>
          <c:min val="-20"/>
        </c:scaling>
        <c:delete val="0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egoe UI Semilight" panose="020B0402040204020203" pitchFamily="34" charset="0"/>
                <a:ea typeface="+mn-ea"/>
                <a:cs typeface="+mn-cs"/>
              </a:defRPr>
            </a:pPr>
            <a:endParaRPr lang="sk-SK"/>
          </a:p>
        </c:txPr>
        <c:crossAx val="577109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9341124026163404E-2"/>
          <c:y val="0.89162988746578353"/>
          <c:w val="0.9118644891610771"/>
          <c:h val="0.1040782670406542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50" b="0" i="0" u="none" strike="noStrike" kern="0" baseline="0">
              <a:solidFill>
                <a:schemeClr val="tx1">
                  <a:lumMod val="65000"/>
                  <a:lumOff val="35000"/>
                </a:schemeClr>
              </a:solidFill>
              <a:latin typeface="Segoe UI Semilight" panose="020B0402040204020203" pitchFamily="34" charset="0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  <c:userShapes r:id="rId4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32C8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-2.0367871955947994E-17"/>
                  <c:y val="-6.495849873691808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90E-4208-B35D-B8AF974C76D2}"/>
                </c:ext>
              </c:extLst>
            </c:dLbl>
            <c:dLbl>
              <c:idx val="5"/>
              <c:layout>
                <c:manualLayout>
                  <c:x val="-4.0735743911895988E-17"/>
                  <c:y val="-5.77408877661494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90E-4208-B35D-B8AF974C76D2}"/>
                </c:ext>
              </c:extLst>
            </c:dLbl>
            <c:dLbl>
              <c:idx val="7"/>
              <c:layout>
                <c:manualLayout>
                  <c:x val="-4.0735743911895988E-17"/>
                  <c:y val="-5.774088776614940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90E-4208-B35D-B8AF974C76D2}"/>
                </c:ext>
              </c:extLst>
            </c:dLbl>
            <c:dLbl>
              <c:idx val="9"/>
              <c:layout>
                <c:manualLayout>
                  <c:x val="0"/>
                  <c:y val="-7.217610970768675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790E-4208-B35D-B8AF974C76D2}"/>
                </c:ext>
              </c:extLst>
            </c:dLbl>
            <c:dLbl>
              <c:idx val="11"/>
              <c:layout>
                <c:manualLayout>
                  <c:x val="0"/>
                  <c:y val="-8.661133164922410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90E-4208-B35D-B8AF974C76D2}"/>
                </c:ext>
              </c:extLst>
            </c:dLbl>
            <c:dLbl>
              <c:idx val="13"/>
              <c:layout>
                <c:manualLayout>
                  <c:x val="-8.1471487823791976E-17"/>
                  <c:y val="-9.382894261999284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790E-4208-B35D-B8AF974C76D2}"/>
                </c:ext>
              </c:extLst>
            </c:dLbl>
            <c:dLbl>
              <c:idx val="14"/>
              <c:layout>
                <c:manualLayout>
                  <c:x val="-4.4439506721475393E-3"/>
                  <c:y val="-6.6160669605011874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790E-4208-B35D-B8AF974C76D2}"/>
                </c:ext>
              </c:extLst>
            </c:dLbl>
            <c:dLbl>
              <c:idx val="15"/>
              <c:layout>
                <c:manualLayout>
                  <c:x val="-8.1471487823791976E-17"/>
                  <c:y val="-8.66113316492241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790E-4208-B35D-B8AF974C76D2}"/>
                </c:ext>
              </c:extLst>
            </c:dLbl>
            <c:dLbl>
              <c:idx val="16"/>
              <c:layout>
                <c:manualLayout>
                  <c:x val="4.4439506721474578E-3"/>
                  <c:y val="-1.3232133921002375E-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790E-4208-B35D-B8AF974C76D2}"/>
                </c:ext>
              </c:extLst>
            </c:dLbl>
            <c:dLbl>
              <c:idx val="17"/>
              <c:layout>
                <c:manualLayout>
                  <c:x val="-8.1471487823791976E-17"/>
                  <c:y val="-9.382894261999277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790E-4208-B35D-B8AF974C76D2}"/>
                </c:ext>
              </c:extLst>
            </c:dLbl>
            <c:dLbl>
              <c:idx val="19"/>
              <c:layout>
                <c:manualLayout>
                  <c:x val="0"/>
                  <c:y val="-0.1010465535907614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790E-4208-B35D-B8AF974C76D2}"/>
                </c:ext>
              </c:extLst>
            </c:dLbl>
            <c:dLbl>
              <c:idx val="21"/>
              <c:layout>
                <c:manualLayout>
                  <c:x val="0"/>
                  <c:y val="-0.1010465535907614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790E-4208-B35D-B8AF974C76D2}"/>
                </c:ext>
              </c:extLst>
            </c:dLbl>
            <c:dLbl>
              <c:idx val="23"/>
              <c:layout>
                <c:manualLayout>
                  <c:x val="0"/>
                  <c:y val="-0.1010465535907615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790E-4208-B35D-B8AF974C76D2}"/>
                </c:ext>
              </c:extLst>
            </c:dLbl>
            <c:dLbl>
              <c:idx val="25"/>
              <c:layout>
                <c:manualLayout>
                  <c:x val="-1.6294297564758395E-16"/>
                  <c:y val="-0.1154817755322988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790E-4208-B35D-B8AF974C76D2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ctr" anchorCtr="0">
                <a:no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Segoe UI Semilight" panose="020B0402040204020203" pitchFamily="34" charset="0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Benchmark!$A$26:$A$53</c15:sqref>
                  </c15:fullRef>
                </c:ext>
              </c:extLst>
              <c:f>Benchmark!$A$26:$A$51</c:f>
              <c:strCache>
                <c:ptCount val="26"/>
                <c:pt idx="0">
                  <c:v>BG</c:v>
                </c:pt>
                <c:pt idx="1">
                  <c:v>EL</c:v>
                </c:pt>
                <c:pt idx="2">
                  <c:v>BE</c:v>
                </c:pt>
                <c:pt idx="3">
                  <c:v>FI</c:v>
                </c:pt>
                <c:pt idx="4">
                  <c:v>IT</c:v>
                </c:pt>
                <c:pt idx="5">
                  <c:v>IE</c:v>
                </c:pt>
                <c:pt idx="6">
                  <c:v>LT</c:v>
                </c:pt>
                <c:pt idx="7">
                  <c:v>LV</c:v>
                </c:pt>
                <c:pt idx="8">
                  <c:v>DK</c:v>
                </c:pt>
                <c:pt idx="9">
                  <c:v>FR</c:v>
                </c:pt>
                <c:pt idx="10">
                  <c:v>SE</c:v>
                </c:pt>
                <c:pt idx="11">
                  <c:v>PL</c:v>
                </c:pt>
                <c:pt idx="12">
                  <c:v>DE</c:v>
                </c:pt>
                <c:pt idx="13">
                  <c:v>CY</c:v>
                </c:pt>
                <c:pt idx="14">
                  <c:v>PT</c:v>
                </c:pt>
                <c:pt idx="15">
                  <c:v>SK</c:v>
                </c:pt>
                <c:pt idx="16">
                  <c:v>SI</c:v>
                </c:pt>
                <c:pt idx="17">
                  <c:v>RO</c:v>
                </c:pt>
                <c:pt idx="18">
                  <c:v>HU</c:v>
                </c:pt>
                <c:pt idx="19">
                  <c:v>SK_OSN</c:v>
                </c:pt>
                <c:pt idx="20">
                  <c:v>EE</c:v>
                </c:pt>
                <c:pt idx="21">
                  <c:v>AT</c:v>
                </c:pt>
                <c:pt idx="22">
                  <c:v>ES</c:v>
                </c:pt>
                <c:pt idx="23">
                  <c:v>CZ</c:v>
                </c:pt>
                <c:pt idx="24">
                  <c:v>HR</c:v>
                </c:pt>
                <c:pt idx="25">
                  <c:v>NL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Benchmark!$B$26:$B$53</c15:sqref>
                  </c15:fullRef>
                </c:ext>
              </c:extLst>
              <c:f>Benchmark!$B$26:$B$51</c:f>
              <c:numCache>
                <c:formatCode>0.00%</c:formatCode>
                <c:ptCount val="26"/>
                <c:pt idx="0">
                  <c:v>4.1700000000000001E-2</c:v>
                </c:pt>
                <c:pt idx="1">
                  <c:v>1.1699999999999999E-2</c:v>
                </c:pt>
                <c:pt idx="2">
                  <c:v>7.4000000000000003E-3</c:v>
                </c:pt>
                <c:pt idx="3">
                  <c:v>6.0000000000000001E-3</c:v>
                </c:pt>
                <c:pt idx="4">
                  <c:v>5.8999999999999999E-3</c:v>
                </c:pt>
                <c:pt idx="5">
                  <c:v>5.5000000000000005E-3</c:v>
                </c:pt>
                <c:pt idx="6">
                  <c:v>5.3E-3</c:v>
                </c:pt>
                <c:pt idx="7">
                  <c:v>5.1999999999999998E-3</c:v>
                </c:pt>
                <c:pt idx="8">
                  <c:v>4.5000000000000005E-3</c:v>
                </c:pt>
                <c:pt idx="9">
                  <c:v>3.7000000000000002E-3</c:v>
                </c:pt>
                <c:pt idx="10">
                  <c:v>3.0999999999999999E-3</c:v>
                </c:pt>
                <c:pt idx="11">
                  <c:v>3.0000000000000001E-3</c:v>
                </c:pt>
                <c:pt idx="12">
                  <c:v>2.8000000000000004E-3</c:v>
                </c:pt>
                <c:pt idx="13">
                  <c:v>2.7000000000000001E-3</c:v>
                </c:pt>
                <c:pt idx="14">
                  <c:v>2.7000000000000001E-3</c:v>
                </c:pt>
                <c:pt idx="15">
                  <c:v>2.5999999999999999E-3</c:v>
                </c:pt>
                <c:pt idx="16">
                  <c:v>2.5000000000000001E-3</c:v>
                </c:pt>
                <c:pt idx="17">
                  <c:v>2.3E-3</c:v>
                </c:pt>
                <c:pt idx="18">
                  <c:v>2.0999999999999999E-3</c:v>
                </c:pt>
                <c:pt idx="19">
                  <c:v>1.7000000000000001E-3</c:v>
                </c:pt>
                <c:pt idx="20">
                  <c:v>1.5E-3</c:v>
                </c:pt>
                <c:pt idx="21">
                  <c:v>1.4000000000000002E-3</c:v>
                </c:pt>
                <c:pt idx="22">
                  <c:v>1.4000000000000002E-3</c:v>
                </c:pt>
                <c:pt idx="23">
                  <c:v>1.2999999999999999E-3</c:v>
                </c:pt>
                <c:pt idx="24">
                  <c:v>7.000000000000001E-4</c:v>
                </c:pt>
                <c:pt idx="25">
                  <c:v>4.0000000000000002E-4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0E-4208-B35D-B8AF974C76D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70677544"/>
        <c:axId val="670677216"/>
      </c:barChart>
      <c:catAx>
        <c:axId val="670677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egoe UI Semilight" panose="020B0402040204020203" pitchFamily="34" charset="0"/>
                <a:ea typeface="+mn-ea"/>
                <a:cs typeface="+mn-cs"/>
              </a:defRPr>
            </a:pPr>
            <a:endParaRPr lang="sk-SK"/>
          </a:p>
        </c:txPr>
        <c:crossAx val="670677216"/>
        <c:crosses val="autoZero"/>
        <c:auto val="1"/>
        <c:lblAlgn val="ctr"/>
        <c:lblOffset val="100"/>
        <c:noMultiLvlLbl val="0"/>
      </c:catAx>
      <c:valAx>
        <c:axId val="670677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egoe UI Semilight" panose="020B0402040204020203" pitchFamily="34" charset="0"/>
                <a:ea typeface="+mn-ea"/>
                <a:cs typeface="+mn-cs"/>
              </a:defRPr>
            </a:pPr>
            <a:endParaRPr lang="sk-SK"/>
          </a:p>
        </c:txPr>
        <c:crossAx val="670677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  <c:userShapes r:id="rId4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993853579768896E-2"/>
          <c:y val="7.953723788864786E-2"/>
          <c:w val="0.90375035810711091"/>
          <c:h val="0.724704368569980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Benchmark!$A$4</c:f>
              <c:strCache>
                <c:ptCount val="1"/>
                <c:pt idx="0">
                  <c:v>CZ</c:v>
                </c:pt>
              </c:strCache>
            </c:strRef>
          </c:tx>
          <c:spPr>
            <a:solidFill>
              <a:srgbClr val="0032C8"/>
            </a:solidFill>
            <a:ln>
              <a:noFill/>
            </a:ln>
            <a:effectLst/>
          </c:spPr>
          <c:invertIfNegative val="0"/>
          <c:cat>
            <c:numRef>
              <c:f>Benchmark!$B$3:$G$3</c:f>
              <c:numCache>
                <c:formatCode>0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Benchmark!$B$4:$G$4</c:f>
              <c:numCache>
                <c:formatCode>0.00%</c:formatCode>
                <c:ptCount val="6"/>
                <c:pt idx="0">
                  <c:v>1.1999999999999999E-3</c:v>
                </c:pt>
                <c:pt idx="1">
                  <c:v>1.1000000000000001E-3</c:v>
                </c:pt>
                <c:pt idx="2">
                  <c:v>1.1999999999999999E-3</c:v>
                </c:pt>
                <c:pt idx="3">
                  <c:v>1.2999999999999999E-3</c:v>
                </c:pt>
                <c:pt idx="4">
                  <c:v>1.5E-3</c:v>
                </c:pt>
                <c:pt idx="5">
                  <c:v>1.2999999999999999E-3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17-4F2A-AC36-1F2FB5C94EFC}"/>
            </c:ext>
          </c:extLst>
        </c:ser>
        <c:ser>
          <c:idx val="1"/>
          <c:order val="1"/>
          <c:tx>
            <c:strRef>
              <c:f>Benchmark!$A$5</c:f>
              <c:strCache>
                <c:ptCount val="1"/>
                <c:pt idx="0">
                  <c:v>DE</c:v>
                </c:pt>
              </c:strCache>
            </c:strRef>
          </c:tx>
          <c:spPr>
            <a:solidFill>
              <a:srgbClr val="6E6E6E"/>
            </a:solidFill>
            <a:ln>
              <a:noFill/>
            </a:ln>
            <a:effectLst/>
          </c:spPr>
          <c:invertIfNegative val="0"/>
          <c:cat>
            <c:numRef>
              <c:f>Benchmark!$B$3:$G$3</c:f>
              <c:numCache>
                <c:formatCode>0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Benchmark!$B$5:$G$5</c:f>
              <c:numCache>
                <c:formatCode>0.00%</c:formatCode>
                <c:ptCount val="6"/>
                <c:pt idx="0">
                  <c:v>2.8E-3</c:v>
                </c:pt>
                <c:pt idx="1">
                  <c:v>3.0000000000000001E-3</c:v>
                </c:pt>
                <c:pt idx="2">
                  <c:v>2.7000000000000001E-3</c:v>
                </c:pt>
                <c:pt idx="3">
                  <c:v>2.8E-3</c:v>
                </c:pt>
                <c:pt idx="4">
                  <c:v>2.3999999999999998E-3</c:v>
                </c:pt>
                <c:pt idx="5">
                  <c:v>2.8E-3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17-4F2A-AC36-1F2FB5C94EFC}"/>
            </c:ext>
          </c:extLst>
        </c:ser>
        <c:ser>
          <c:idx val="2"/>
          <c:order val="2"/>
          <c:tx>
            <c:strRef>
              <c:f>Benchmark!$A$6</c:f>
              <c:strCache>
                <c:ptCount val="1"/>
                <c:pt idx="0">
                  <c:v>PL</c:v>
                </c:pt>
              </c:strCache>
            </c:strRef>
          </c:tx>
          <c:spPr>
            <a:solidFill>
              <a:srgbClr val="3296FF"/>
            </a:solidFill>
            <a:ln>
              <a:noFill/>
            </a:ln>
            <a:effectLst/>
          </c:spPr>
          <c:invertIfNegative val="0"/>
          <c:cat>
            <c:numRef>
              <c:f>Benchmark!$B$3:$G$3</c:f>
              <c:numCache>
                <c:formatCode>0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Benchmark!$B$6:$G$6</c:f>
              <c:numCache>
                <c:formatCode>0.00%</c:formatCode>
                <c:ptCount val="6"/>
                <c:pt idx="0">
                  <c:v>2.7000000000000001E-3</c:v>
                </c:pt>
                <c:pt idx="1">
                  <c:v>3.5000000000000001E-3</c:v>
                </c:pt>
                <c:pt idx="2">
                  <c:v>3.5000000000000001E-3</c:v>
                </c:pt>
                <c:pt idx="3">
                  <c:v>5.1000000000000004E-3</c:v>
                </c:pt>
                <c:pt idx="4">
                  <c:v>2.8999999999999998E-3</c:v>
                </c:pt>
                <c:pt idx="5">
                  <c:v>3.0000000000000001E-3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B17-4F2A-AC36-1F2FB5C94EFC}"/>
            </c:ext>
          </c:extLst>
        </c:ser>
        <c:ser>
          <c:idx val="3"/>
          <c:order val="3"/>
          <c:tx>
            <c:strRef>
              <c:f>Benchmark!$A$7</c:f>
              <c:strCache>
                <c:ptCount val="1"/>
                <c:pt idx="0">
                  <c:v>SK_OSN</c:v>
                </c:pt>
              </c:strCache>
            </c:strRef>
          </c:tx>
          <c:spPr>
            <a:solidFill>
              <a:srgbClr val="A0A0A0"/>
            </a:solidFill>
            <a:ln>
              <a:noFill/>
            </a:ln>
            <a:effectLst/>
          </c:spPr>
          <c:invertIfNegative val="0"/>
          <c:cat>
            <c:numRef>
              <c:f>Benchmark!$B$3:$G$3</c:f>
              <c:numCache>
                <c:formatCode>0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Benchmark!$B$7:$G$7</c:f>
              <c:numCache>
                <c:formatCode>0.00%</c:formatCode>
                <c:ptCount val="6"/>
                <c:pt idx="0">
                  <c:v>2.7000000000000001E-3</c:v>
                </c:pt>
                <c:pt idx="1">
                  <c:v>2.7000000000000001E-3</c:v>
                </c:pt>
                <c:pt idx="2">
                  <c:v>2.5999999999999999E-3</c:v>
                </c:pt>
                <c:pt idx="3">
                  <c:v>3.0000000000000001E-3</c:v>
                </c:pt>
                <c:pt idx="4">
                  <c:v>2.7000000000000001E-3</c:v>
                </c:pt>
                <c:pt idx="5">
                  <c:v>2.5999999999999999E-3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B17-4F2A-AC36-1F2FB5C94EFC}"/>
            </c:ext>
          </c:extLst>
        </c:ser>
        <c:ser>
          <c:idx val="6"/>
          <c:order val="6"/>
          <c:tx>
            <c:strRef>
              <c:f>Benchmark!$A$8</c:f>
              <c:strCache>
                <c:ptCount val="1"/>
                <c:pt idx="0">
                  <c:v>SK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Benchmark!$B$8:$G$8</c:f>
              <c:numCache>
                <c:formatCode>0.00%</c:formatCode>
                <c:ptCount val="6"/>
                <c:pt idx="0">
                  <c:v>2.3318848060373603E-3</c:v>
                </c:pt>
                <c:pt idx="1">
                  <c:v>2.5620177129198505E-3</c:v>
                </c:pt>
                <c:pt idx="2">
                  <c:v>4.23762198837017E-3</c:v>
                </c:pt>
                <c:pt idx="3">
                  <c:v>5.2491050905456634E-3</c:v>
                </c:pt>
                <c:pt idx="4">
                  <c:v>3.0153475522099928E-3</c:v>
                </c:pt>
                <c:pt idx="5">
                  <c:v>1.7099464937380025E-3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B17-4F2A-AC36-1F2FB5C94EFC}"/>
            </c:ext>
          </c:extLst>
        </c:ser>
        <c:ser>
          <c:idx val="7"/>
          <c:order val="7"/>
          <c:tx>
            <c:strRef>
              <c:f>Benchmark!$A$9</c:f>
              <c:strCache>
                <c:ptCount val="1"/>
                <c:pt idx="0">
                  <c:v>EU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  <a:ln>
              <a:noFill/>
            </a:ln>
            <a:effectLst/>
          </c:spPr>
          <c:invertIfNegative val="0"/>
          <c:val>
            <c:numRef>
              <c:f>Benchmark!$B$9:$G$9</c:f>
              <c:numCache>
                <c:formatCode>0.00%</c:formatCode>
                <c:ptCount val="6"/>
                <c:pt idx="0">
                  <c:v>4.0000000000000001E-3</c:v>
                </c:pt>
                <c:pt idx="1">
                  <c:v>3.7000000000000002E-3</c:v>
                </c:pt>
                <c:pt idx="2">
                  <c:v>4.0000000000000001E-3</c:v>
                </c:pt>
                <c:pt idx="3">
                  <c:v>4.4999999999999997E-3</c:v>
                </c:pt>
                <c:pt idx="4">
                  <c:v>4.1999999999999997E-3</c:v>
                </c:pt>
                <c:pt idx="5">
                  <c:v>4.0000000000000001E-3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B17-4F2A-AC36-1F2FB5C94E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3952328"/>
        <c:axId val="623950360"/>
        <c:extLst>
          <c:ext xmlns:c15="http://schemas.microsoft.com/office/drawing/2012/chart" uri="{02D57815-91ED-43cb-92C2-25804820EDAC}">
            <c15:filteredBarSeries>
              <c15:ser>
                <c:idx val="4"/>
                <c:order val="4"/>
                <c:tx>
                  <c:strRef>
                    <c:extLst>
                      <c:ext uri="{02D57815-91ED-43cb-92C2-25804820EDAC}">
                        <c15:formulaRef>
                          <c15:sqref>Benchmark!$A$9</c15:sqref>
                        </c15:formulaRef>
                      </c:ext>
                    </c:extLst>
                    <c:strCache>
                      <c:ptCount val="1"/>
                      <c:pt idx="0">
                        <c:v>EU</c:v>
                      </c:pt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Benchmark!$B$3:$G$3</c15:sqref>
                        </c15:formulaRef>
                      </c:ext>
                    </c:extLst>
                    <c:numCache>
                      <c:formatCode>0</c:formatCode>
                      <c:ptCount val="6"/>
                      <c:pt idx="0">
                        <c:v>2015</c:v>
                      </c:pt>
                      <c:pt idx="1">
                        <c:v>2016</c:v>
                      </c:pt>
                      <c:pt idx="2">
                        <c:v>2017</c:v>
                      </c:pt>
                      <c:pt idx="3">
                        <c:v>2018</c:v>
                      </c:pt>
                      <c:pt idx="4">
                        <c:v>2019</c:v>
                      </c:pt>
                      <c:pt idx="5">
                        <c:v>2020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Benchmark!$B$9:$G$9</c15:sqref>
                        </c15:formulaRef>
                      </c:ext>
                    </c:extLst>
                    <c:numCache>
                      <c:formatCode>0.00%</c:formatCode>
                      <c:ptCount val="6"/>
                      <c:pt idx="0">
                        <c:v>4.0000000000000001E-3</c:v>
                      </c:pt>
                      <c:pt idx="1">
                        <c:v>3.7000000000000002E-3</c:v>
                      </c:pt>
                      <c:pt idx="2">
                        <c:v>4.0000000000000001E-3</c:v>
                      </c:pt>
                      <c:pt idx="3">
                        <c:v>4.4999999999999997E-3</c:v>
                      </c:pt>
                      <c:pt idx="4">
                        <c:v>4.1999999999999997E-3</c:v>
                      </c:pt>
                      <c:pt idx="5">
                        <c:v>4.0000000000000001E-3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6-FB17-4F2A-AC36-1F2FB5C94EFC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Benchmark!$A$8</c15:sqref>
                        </c15:formulaRef>
                      </c:ext>
                    </c:extLst>
                    <c:strCache>
                      <c:ptCount val="1"/>
                      <c:pt idx="0">
                        <c:v>SK</c:v>
                      </c:pt>
                    </c:strCache>
                  </c:strRef>
                </c:tx>
                <c:spPr>
                  <a:solidFill>
                    <a:schemeClr val="accent6"/>
                  </a:solidFill>
                  <a:ln>
                    <a:noFill/>
                  </a:ln>
                  <a:effectLst/>
                </c:spPr>
                <c:invertIfNegative val="0"/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Benchmark!$B$8:$G$8</c15:sqref>
                        </c15:formulaRef>
                      </c:ext>
                    </c:extLst>
                    <c:numCache>
                      <c:formatCode>0.00%</c:formatCode>
                      <c:ptCount val="6"/>
                      <c:pt idx="0">
                        <c:v>2.3318848060373603E-3</c:v>
                      </c:pt>
                      <c:pt idx="1">
                        <c:v>2.5620177129198505E-3</c:v>
                      </c:pt>
                      <c:pt idx="2">
                        <c:v>4.23762198837017E-3</c:v>
                      </c:pt>
                      <c:pt idx="3">
                        <c:v>5.2491050905456634E-3</c:v>
                      </c:pt>
                      <c:pt idx="4">
                        <c:v>3.0153475522099928E-3</c:v>
                      </c:pt>
                      <c:pt idx="5">
                        <c:v>1.7099464937380025E-3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FB17-4F2A-AC36-1F2FB5C94EFC}"/>
                  </c:ext>
                </c:extLst>
              </c15:ser>
            </c15:filteredBarSeries>
          </c:ext>
        </c:extLst>
      </c:barChart>
      <c:catAx>
        <c:axId val="623952328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egoe UI Semilight" panose="020B0402040204020203" pitchFamily="34" charset="0"/>
                <a:ea typeface="+mn-ea"/>
                <a:cs typeface="+mn-cs"/>
              </a:defRPr>
            </a:pPr>
            <a:endParaRPr lang="sk-SK"/>
          </a:p>
        </c:txPr>
        <c:crossAx val="623950360"/>
        <c:crosses val="autoZero"/>
        <c:auto val="1"/>
        <c:lblAlgn val="ctr"/>
        <c:lblOffset val="100"/>
        <c:noMultiLvlLbl val="0"/>
      </c:catAx>
      <c:valAx>
        <c:axId val="623950360"/>
        <c:scaling>
          <c:orientation val="minMax"/>
          <c:max val="5.5000000000000014E-3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egoe UI Semilight" panose="020B0402040204020203" pitchFamily="34" charset="0"/>
                <a:ea typeface="+mn-ea"/>
                <a:cs typeface="+mn-cs"/>
              </a:defRPr>
            </a:pPr>
            <a:endParaRPr lang="sk-SK"/>
          </a:p>
        </c:txPr>
        <c:crossAx val="623952328"/>
        <c:crosses val="autoZero"/>
        <c:crossBetween val="between"/>
      </c:valAx>
      <c:spPr>
        <a:noFill/>
        <a:ln>
          <a:noFill/>
        </a:ln>
        <a:effectLst>
          <a:softEdge rad="31750"/>
        </a:effectLst>
      </c:spPr>
    </c:plotArea>
    <c:legend>
      <c:legendPos val="b"/>
      <c:layout>
        <c:manualLayout>
          <c:xMode val="edge"/>
          <c:yMode val="edge"/>
          <c:x val="0.31934993792810079"/>
          <c:y val="0.87798179240610108"/>
          <c:w val="0.35688980718645008"/>
          <c:h val="0.122018207593898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Segoe UI Semilight" panose="020B0402040204020203" pitchFamily="34" charset="0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>
      <a:softEdge rad="31750"/>
    </a:effectLst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INDIKÁTOR!$Q$20</c:f>
              <c:strCache>
                <c:ptCount val="1"/>
                <c:pt idx="0">
                  <c:v>Uhlie</c:v>
                </c:pt>
              </c:strCache>
            </c:strRef>
          </c:tx>
          <c:spPr>
            <a:solidFill>
              <a:srgbClr val="0032C8"/>
            </a:solidFill>
            <a:ln>
              <a:noFill/>
            </a:ln>
            <a:effectLst/>
          </c:spPr>
          <c:invertIfNegative val="0"/>
          <c:cat>
            <c:strRef>
              <c:f>INDIKÁTOR!$R$19:$AB$19</c:f>
              <c:strCach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 f</c:v>
                </c:pt>
              </c:strCache>
            </c:strRef>
          </c:cat>
          <c:val>
            <c:numRef>
              <c:f>INDIKÁTOR!$R$20:$AB$20</c:f>
              <c:numCache>
                <c:formatCode>0.00</c:formatCode>
                <c:ptCount val="11"/>
                <c:pt idx="0">
                  <c:v>112.11462007799999</c:v>
                </c:pt>
                <c:pt idx="1">
                  <c:v>139.61759593300002</c:v>
                </c:pt>
                <c:pt idx="2">
                  <c:v>159.37697319599999</c:v>
                </c:pt>
                <c:pt idx="3">
                  <c:v>169.16618402666606</c:v>
                </c:pt>
                <c:pt idx="4">
                  <c:v>171.65021294542316</c:v>
                </c:pt>
                <c:pt idx="5">
                  <c:v>174.47892393784969</c:v>
                </c:pt>
                <c:pt idx="6">
                  <c:v>168.81532172315997</c:v>
                </c:pt>
                <c:pt idx="7">
                  <c:v>185.10441687508501</c:v>
                </c:pt>
                <c:pt idx="8">
                  <c:v>181.29712477963699</c:v>
                </c:pt>
                <c:pt idx="9">
                  <c:v>167.93084153365899</c:v>
                </c:pt>
                <c:pt idx="10">
                  <c:v>147.33406116281191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F3-4DE4-84D2-636405108864}"/>
            </c:ext>
          </c:extLst>
        </c:ser>
        <c:ser>
          <c:idx val="1"/>
          <c:order val="1"/>
          <c:tx>
            <c:strRef>
              <c:f>INDIKÁTOR!$Q$21</c:f>
              <c:strCache>
                <c:ptCount val="1"/>
                <c:pt idx="0">
                  <c:v>Zemný plyn</c:v>
                </c:pt>
              </c:strCache>
            </c:strRef>
          </c:tx>
          <c:spPr>
            <a:solidFill>
              <a:srgbClr val="6E6E6E"/>
            </a:solidFill>
            <a:ln>
              <a:noFill/>
            </a:ln>
            <a:effectLst/>
          </c:spPr>
          <c:invertIfNegative val="0"/>
          <c:cat>
            <c:strRef>
              <c:f>INDIKÁTOR!$R$19:$AB$19</c:f>
              <c:strCach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 f</c:v>
                </c:pt>
              </c:strCache>
            </c:strRef>
          </c:cat>
          <c:val>
            <c:numRef>
              <c:f>INDIKÁTOR!$R$21:$AB$21</c:f>
              <c:numCache>
                <c:formatCode>General</c:formatCode>
                <c:ptCount val="11"/>
                <c:pt idx="0">
                  <c:v>72.228902120120011</c:v>
                </c:pt>
                <c:pt idx="1">
                  <c:v>69.481159409360004</c:v>
                </c:pt>
                <c:pt idx="2">
                  <c:v>84.084428704920015</c:v>
                </c:pt>
                <c:pt idx="3">
                  <c:v>-10.060890303639972</c:v>
                </c:pt>
                <c:pt idx="4">
                  <c:v>-1.0338500835200009</c:v>
                </c:pt>
                <c:pt idx="5">
                  <c:v>7.1687975320400312</c:v>
                </c:pt>
                <c:pt idx="6">
                  <c:v>133.45199131068003</c:v>
                </c:pt>
                <c:pt idx="7">
                  <c:v>186.40523431356294</c:v>
                </c:pt>
                <c:pt idx="8">
                  <c:v>36.790752602347276</c:v>
                </c:pt>
                <c:pt idx="9">
                  <c:v>-63.526223775800027</c:v>
                </c:pt>
                <c:pt idx="10">
                  <c:v>575.51827379539998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F3-4DE4-84D2-636405108864}"/>
            </c:ext>
          </c:extLst>
        </c:ser>
        <c:ser>
          <c:idx val="2"/>
          <c:order val="2"/>
          <c:tx>
            <c:strRef>
              <c:f>INDIKÁTOR!$Q$22</c:f>
              <c:strCache>
                <c:ptCount val="1"/>
                <c:pt idx="0">
                  <c:v>Elektrina</c:v>
                </c:pt>
              </c:strCache>
            </c:strRef>
          </c:tx>
          <c:spPr>
            <a:solidFill>
              <a:srgbClr val="3296FF"/>
            </a:solidFill>
            <a:ln>
              <a:noFill/>
            </a:ln>
            <a:effectLst/>
          </c:spPr>
          <c:invertIfNegative val="0"/>
          <c:cat>
            <c:strRef>
              <c:f>INDIKÁTOR!$R$19:$AB$19</c:f>
              <c:strCach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 f</c:v>
                </c:pt>
              </c:strCache>
            </c:strRef>
          </c:cat>
          <c:val>
            <c:numRef>
              <c:f>INDIKÁTOR!$R$22:$AB$22</c:f>
              <c:numCache>
                <c:formatCode>General</c:formatCode>
                <c:ptCount val="11"/>
                <c:pt idx="0">
                  <c:v>3.6911103103226184</c:v>
                </c:pt>
                <c:pt idx="1">
                  <c:v>4.1614389916769374</c:v>
                </c:pt>
                <c:pt idx="2">
                  <c:v>3.7144453533678519</c:v>
                </c:pt>
                <c:pt idx="3">
                  <c:v>5.0361782875356269</c:v>
                </c:pt>
                <c:pt idx="4">
                  <c:v>5.2126589112900907</c:v>
                </c:pt>
                <c:pt idx="5">
                  <c:v>7.453333429912961</c:v>
                </c:pt>
                <c:pt idx="6">
                  <c:v>29.898586257903371</c:v>
                </c:pt>
                <c:pt idx="7">
                  <c:v>71.780719766610758</c:v>
                </c:pt>
                <c:pt idx="8">
                  <c:v>44.112518359121125</c:v>
                </c:pt>
                <c:pt idx="9">
                  <c:v>7.7380049929906809</c:v>
                </c:pt>
                <c:pt idx="10">
                  <c:v>145.06993789096924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0F3-4DE4-84D2-636405108864}"/>
            </c:ext>
          </c:extLst>
        </c:ser>
        <c:ser>
          <c:idx val="3"/>
          <c:order val="3"/>
          <c:tx>
            <c:strRef>
              <c:f>INDIKÁTOR!$Q$23</c:f>
              <c:strCache>
                <c:ptCount val="1"/>
                <c:pt idx="0">
                  <c:v>Iné (KVET)</c:v>
                </c:pt>
              </c:strCache>
            </c:strRef>
          </c:tx>
          <c:spPr>
            <a:solidFill>
              <a:srgbClr val="A0A0A0"/>
            </a:solidFill>
            <a:ln>
              <a:noFill/>
            </a:ln>
            <a:effectLst/>
          </c:spPr>
          <c:invertIfNegative val="0"/>
          <c:cat>
            <c:strRef>
              <c:f>INDIKÁTOR!$R$19:$AB$19</c:f>
              <c:strCach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 f</c:v>
                </c:pt>
              </c:strCache>
            </c:strRef>
          </c:cat>
          <c:val>
            <c:numRef>
              <c:f>INDIKÁTOR!$R$23:$AB$23</c:f>
              <c:numCache>
                <c:formatCode>General</c:formatCode>
                <c:ptCount val="11"/>
                <c:pt idx="0">
                  <c:v>6.1014396899999994</c:v>
                </c:pt>
                <c:pt idx="1">
                  <c:v>5.5025279299999994</c:v>
                </c:pt>
                <c:pt idx="2">
                  <c:v>10.52712534</c:v>
                </c:pt>
                <c:pt idx="3">
                  <c:v>13.199208469999999</c:v>
                </c:pt>
                <c:pt idx="4">
                  <c:v>10.460824799999999</c:v>
                </c:pt>
                <c:pt idx="5">
                  <c:v>18.459016699999999</c:v>
                </c:pt>
                <c:pt idx="6">
                  <c:v>25.671190509999999</c:v>
                </c:pt>
                <c:pt idx="7">
                  <c:v>26.13709729224</c:v>
                </c:pt>
                <c:pt idx="8">
                  <c:v>21.387010849140001</c:v>
                </c:pt>
                <c:pt idx="9">
                  <c:v>45.308053430000001</c:v>
                </c:pt>
                <c:pt idx="10">
                  <c:v>8.0016273000000009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0F3-4DE4-84D2-6364051088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85294760"/>
        <c:axId val="585294432"/>
      </c:barChart>
      <c:scatterChart>
        <c:scatterStyle val="lineMarker"/>
        <c:varyColors val="0"/>
        <c:ser>
          <c:idx val="4"/>
          <c:order val="4"/>
          <c:tx>
            <c:strRef>
              <c:f>INDIKÁTOR!$Q$24</c:f>
              <c:strCache>
                <c:ptCount val="1"/>
                <c:pt idx="0">
                  <c:v>Spolu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3"/>
            <c:spPr>
              <a:solidFill>
                <a:schemeClr val="tx1">
                  <a:lumMod val="95000"/>
                  <a:lumOff val="5000"/>
                </a:schemeClr>
              </a:solidFill>
              <a:ln w="12700">
                <a:solidFill>
                  <a:schemeClr val="tx1">
                    <a:lumMod val="95000"/>
                    <a:lumOff val="5000"/>
                  </a:schemeClr>
                </a:solidFill>
              </a:ln>
              <a:effectLst/>
            </c:spPr>
          </c:marker>
          <c:yVal>
            <c:numRef>
              <c:f>INDIKÁTOR!$R$24:$AB$24</c:f>
              <c:numCache>
                <c:formatCode>0.00</c:formatCode>
                <c:ptCount val="11"/>
                <c:pt idx="0">
                  <c:v>194.13607219844263</c:v>
                </c:pt>
                <c:pt idx="1">
                  <c:v>218.76272226403694</c:v>
                </c:pt>
                <c:pt idx="2">
                  <c:v>257.70297259428787</c:v>
                </c:pt>
                <c:pt idx="3">
                  <c:v>177.3406804805617</c:v>
                </c:pt>
                <c:pt idx="4">
                  <c:v>186.28984657319324</c:v>
                </c:pt>
                <c:pt idx="5">
                  <c:v>207.56007159980268</c:v>
                </c:pt>
                <c:pt idx="6">
                  <c:v>357.83708980174333</c:v>
                </c:pt>
                <c:pt idx="7">
                  <c:v>469.42746824749872</c:v>
                </c:pt>
                <c:pt idx="8">
                  <c:v>283.58740659024539</c:v>
                </c:pt>
                <c:pt idx="9">
                  <c:v>157.45067618084965</c:v>
                </c:pt>
                <c:pt idx="10">
                  <c:v>875.92390014918112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40F3-4DE4-84D2-6364051088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85294760"/>
        <c:axId val="585294432"/>
      </c:scatterChart>
      <c:catAx>
        <c:axId val="585294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egoe UI Semilight" panose="020B0402040204020203" pitchFamily="34" charset="0"/>
                <a:ea typeface="+mn-ea"/>
                <a:cs typeface="+mn-cs"/>
              </a:defRPr>
            </a:pPr>
            <a:endParaRPr lang="sk-SK"/>
          </a:p>
        </c:txPr>
        <c:crossAx val="585294432"/>
        <c:crosses val="autoZero"/>
        <c:auto val="1"/>
        <c:lblAlgn val="ctr"/>
        <c:lblOffset val="100"/>
        <c:noMultiLvlLbl val="0"/>
      </c:catAx>
      <c:valAx>
        <c:axId val="585294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egoe UI Semilight" panose="020B0402040204020203" pitchFamily="34" charset="0"/>
                <a:ea typeface="+mn-ea"/>
                <a:cs typeface="+mn-cs"/>
              </a:defRPr>
            </a:pPr>
            <a:endParaRPr lang="sk-SK"/>
          </a:p>
        </c:txPr>
        <c:crossAx val="585294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Segoe UI Semilight" panose="020B0402040204020203" pitchFamily="34" charset="0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8968635864961325E-2"/>
          <c:y val="3.8807549832421941E-2"/>
          <c:w val="0.72229009568248415"/>
          <c:h val="0.8793499110370949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INDIKÁTOR!$A$3:$B$3</c:f>
              <c:strCache>
                <c:ptCount val="2"/>
                <c:pt idx="0">
                  <c:v>Priame dotácie</c:v>
                </c:pt>
                <c:pt idx="1">
                  <c:v>Uhlie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INDIKÁTOR!$C$18:$M$18</c:f>
              <c:strCach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 f</c:v>
                </c:pt>
              </c:strCache>
            </c:strRef>
          </c:cat>
          <c:val>
            <c:numRef>
              <c:f>INDIKÁTOR!$C$3:$M$3</c:f>
              <c:numCache>
                <c:formatCode>0.00</c:formatCode>
                <c:ptCount val="11"/>
                <c:pt idx="0">
                  <c:v>76.652418029999993</c:v>
                </c:pt>
                <c:pt idx="1">
                  <c:v>57.234351490000002</c:v>
                </c:pt>
                <c:pt idx="2">
                  <c:v>77.735900549999997</c:v>
                </c:pt>
                <c:pt idx="3">
                  <c:v>99.351013780000002</c:v>
                </c:pt>
                <c:pt idx="4">
                  <c:v>102.53867240999999</c:v>
                </c:pt>
                <c:pt idx="5">
                  <c:v>105.06277043</c:v>
                </c:pt>
                <c:pt idx="6">
                  <c:v>106.11524460999999</c:v>
                </c:pt>
                <c:pt idx="7">
                  <c:v>115.75068216</c:v>
                </c:pt>
                <c:pt idx="8">
                  <c:v>123.16896927000001</c:v>
                </c:pt>
                <c:pt idx="9">
                  <c:v>120.74291364</c:v>
                </c:pt>
                <c:pt idx="10">
                  <c:v>88.787224980000005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58-4D48-BEA4-55144ED2E6D0}"/>
            </c:ext>
          </c:extLst>
        </c:ser>
        <c:ser>
          <c:idx val="1"/>
          <c:order val="1"/>
          <c:tx>
            <c:strRef>
              <c:f>INDIKÁTOR!$A$4:$B$4</c:f>
              <c:strCache>
                <c:ptCount val="2"/>
                <c:pt idx="0">
                  <c:v>Priame dotácie</c:v>
                </c:pt>
                <c:pt idx="1">
                  <c:v>Zemný plyn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INDIKÁTOR!$C$18:$M$18</c:f>
              <c:strCach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 f</c:v>
                </c:pt>
              </c:strCache>
            </c:strRef>
          </c:cat>
          <c:val>
            <c:numRef>
              <c:f>INDIKÁTOR!$C$4:$M$4</c:f>
              <c:numCache>
                <c:formatCode>General</c:formatCode>
                <c:ptCount val="11"/>
                <c:pt idx="0">
                  <c:v>17.81582702</c:v>
                </c:pt>
                <c:pt idx="1">
                  <c:v>17.836662530000002</c:v>
                </c:pt>
                <c:pt idx="2">
                  <c:v>33.056661720000001</c:v>
                </c:pt>
                <c:pt idx="3">
                  <c:v>45.541944770000001</c:v>
                </c:pt>
                <c:pt idx="4">
                  <c:v>93.158769809999995</c:v>
                </c:pt>
                <c:pt idx="5">
                  <c:v>61.769205419999999</c:v>
                </c:pt>
                <c:pt idx="6">
                  <c:v>76.154975250000007</c:v>
                </c:pt>
                <c:pt idx="7">
                  <c:v>59.681074991602898</c:v>
                </c:pt>
                <c:pt idx="8">
                  <c:v>50.829232339947303</c:v>
                </c:pt>
                <c:pt idx="9">
                  <c:v>61.424190430000003</c:v>
                </c:pt>
                <c:pt idx="10">
                  <c:v>18.43240544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58-4D48-BEA4-55144ED2E6D0}"/>
            </c:ext>
          </c:extLst>
        </c:ser>
        <c:ser>
          <c:idx val="2"/>
          <c:order val="2"/>
          <c:tx>
            <c:strRef>
              <c:f>INDIKÁTOR!$A$5:$B$5</c:f>
              <c:strCache>
                <c:ptCount val="2"/>
                <c:pt idx="0">
                  <c:v>Priame dotácie</c:v>
                </c:pt>
                <c:pt idx="1">
                  <c:v>Elektrina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INDIKÁTOR!$C$18:$M$18</c:f>
              <c:strCach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 f</c:v>
                </c:pt>
              </c:strCache>
            </c:strRef>
          </c:cat>
          <c:val>
            <c:numRef>
              <c:f>INDIKÁTOR!$C$5:$M$5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1.9618326279052498</c:v>
                </c:pt>
                <c:pt idx="6">
                  <c:v>2.0559765072689702</c:v>
                </c:pt>
                <c:pt idx="7">
                  <c:v>10.135244833364364</c:v>
                </c:pt>
                <c:pt idx="8">
                  <c:v>9.6651878454983979</c:v>
                </c:pt>
                <c:pt idx="9">
                  <c:v>11.01682785434096</c:v>
                </c:pt>
                <c:pt idx="10">
                  <c:v>10.233862573707055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658-4D48-BEA4-55144ED2E6D0}"/>
            </c:ext>
          </c:extLst>
        </c:ser>
        <c:ser>
          <c:idx val="3"/>
          <c:order val="3"/>
          <c:tx>
            <c:strRef>
              <c:f>INDIKÁTOR!$A$6:$B$6</c:f>
              <c:strCache>
                <c:ptCount val="2"/>
                <c:pt idx="0">
                  <c:v>Priame dotácie</c:v>
                </c:pt>
                <c:pt idx="1">
                  <c:v>Iné (KVET)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INDIKÁTOR!$C$18:$M$18</c:f>
              <c:strCach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 f</c:v>
                </c:pt>
              </c:strCache>
            </c:strRef>
          </c:cat>
          <c:val>
            <c:numRef>
              <c:f>INDIKÁTOR!$C$6:$M$6</c:f>
              <c:numCache>
                <c:formatCode>General</c:formatCode>
                <c:ptCount val="11"/>
                <c:pt idx="0">
                  <c:v>6.1014396899999994</c:v>
                </c:pt>
                <c:pt idx="1">
                  <c:v>5.5025279299999994</c:v>
                </c:pt>
                <c:pt idx="2">
                  <c:v>10.52712534</c:v>
                </c:pt>
                <c:pt idx="3">
                  <c:v>13.199208469999999</c:v>
                </c:pt>
                <c:pt idx="4">
                  <c:v>10.460824799999999</c:v>
                </c:pt>
                <c:pt idx="5">
                  <c:v>18.459016699999999</c:v>
                </c:pt>
                <c:pt idx="6">
                  <c:v>25.671190509999999</c:v>
                </c:pt>
                <c:pt idx="7">
                  <c:v>26.13709729224</c:v>
                </c:pt>
                <c:pt idx="8">
                  <c:v>21.387010849140001</c:v>
                </c:pt>
                <c:pt idx="9">
                  <c:v>45.308053430000001</c:v>
                </c:pt>
                <c:pt idx="10">
                  <c:v>8.0016273000000009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658-4D48-BEA4-55144ED2E6D0}"/>
            </c:ext>
          </c:extLst>
        </c:ser>
        <c:ser>
          <c:idx val="4"/>
          <c:order val="4"/>
          <c:tx>
            <c:strRef>
              <c:f>INDIKÁTOR!$A$7:$B$7</c:f>
              <c:strCache>
                <c:ptCount val="2"/>
                <c:pt idx="0">
                  <c:v>Nepriame dotácie</c:v>
                </c:pt>
                <c:pt idx="1">
                  <c:v>Uhlie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INDIKÁTOR!$C$18:$M$18</c:f>
              <c:strCach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 f</c:v>
                </c:pt>
              </c:strCache>
            </c:strRef>
          </c:cat>
          <c:val>
            <c:numRef>
              <c:f>INDIKÁTOR!$C$7:$M$7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-3.5230791373339319</c:v>
                </c:pt>
                <c:pt idx="4">
                  <c:v>-3.9634247115768311</c:v>
                </c:pt>
                <c:pt idx="5">
                  <c:v>-3.8111429207503336</c:v>
                </c:pt>
                <c:pt idx="6">
                  <c:v>-6.9531562614400011</c:v>
                </c:pt>
                <c:pt idx="7">
                  <c:v>-5.4733412589149992</c:v>
                </c:pt>
                <c:pt idx="8">
                  <c:v>-4.2212392341630007</c:v>
                </c:pt>
                <c:pt idx="9">
                  <c:v>-3.7638030891409993</c:v>
                </c:pt>
                <c:pt idx="10">
                  <c:v>-4.0595996701049994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658-4D48-BEA4-55144ED2E6D0}"/>
            </c:ext>
          </c:extLst>
        </c:ser>
        <c:ser>
          <c:idx val="5"/>
          <c:order val="5"/>
          <c:tx>
            <c:strRef>
              <c:f>INDIKÁTOR!$A$8:$B$8</c:f>
              <c:strCache>
                <c:ptCount val="2"/>
                <c:pt idx="0">
                  <c:v>Nepriame dotácie</c:v>
                </c:pt>
                <c:pt idx="1">
                  <c:v>Zemný plyn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INDIKÁTOR!$C$18:$M$18</c:f>
              <c:strCach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 f</c:v>
                </c:pt>
              </c:strCache>
            </c:strRef>
          </c:cat>
          <c:val>
            <c:numRef>
              <c:f>INDIKÁTOR!$C$8:$M$8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-98.556480299999976</c:v>
                </c:pt>
                <c:pt idx="4">
                  <c:v>-140.8550204</c:v>
                </c:pt>
                <c:pt idx="5">
                  <c:v>-105.03685719999997</c:v>
                </c:pt>
                <c:pt idx="6">
                  <c:v>4.048037400000009</c:v>
                </c:pt>
                <c:pt idx="7">
                  <c:v>71.692648300000045</c:v>
                </c:pt>
                <c:pt idx="8">
                  <c:v>-75.721356800000024</c:v>
                </c:pt>
                <c:pt idx="9">
                  <c:v>-182.15483040000004</c:v>
                </c:pt>
                <c:pt idx="10">
                  <c:v>494.51066399999991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658-4D48-BEA4-55144ED2E6D0}"/>
            </c:ext>
          </c:extLst>
        </c:ser>
        <c:ser>
          <c:idx val="6"/>
          <c:order val="6"/>
          <c:tx>
            <c:strRef>
              <c:f>INDIKÁTOR!$A$9:$B$9</c:f>
              <c:strCache>
                <c:ptCount val="2"/>
                <c:pt idx="0">
                  <c:v>Nepriame dotácie</c:v>
                </c:pt>
                <c:pt idx="1">
                  <c:v>Elektrina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cat>
            <c:strRef>
              <c:f>INDIKÁTOR!$C$18:$M$18</c:f>
              <c:strCach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 f</c:v>
                </c:pt>
              </c:strCache>
            </c:strRef>
          </c:cat>
          <c:val>
            <c:numRef>
              <c:f>INDIKÁTOR!$C$9:$M$9</c:f>
              <c:numCache>
                <c:formatCode>General</c:formatCode>
                <c:ptCount val="11"/>
                <c:pt idx="0">
                  <c:v>-9.9389910438062251E-2</c:v>
                </c:pt>
                <c:pt idx="1">
                  <c:v>0</c:v>
                </c:pt>
                <c:pt idx="2">
                  <c:v>2.063201837586423E-16</c:v>
                </c:pt>
                <c:pt idx="3">
                  <c:v>2.6075194453491166</c:v>
                </c:pt>
                <c:pt idx="4">
                  <c:v>2.7418232503856368</c:v>
                </c:pt>
                <c:pt idx="5">
                  <c:v>2.8418964408415901</c:v>
                </c:pt>
                <c:pt idx="6">
                  <c:v>24.90862836262724</c:v>
                </c:pt>
                <c:pt idx="7">
                  <c:v>58.496526682123033</c:v>
                </c:pt>
                <c:pt idx="8">
                  <c:v>31.327341798501067</c:v>
                </c:pt>
                <c:pt idx="9">
                  <c:v>-6.5329601033027487</c:v>
                </c:pt>
                <c:pt idx="10">
                  <c:v>131.2494609588698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658-4D48-BEA4-55144ED2E6D0}"/>
            </c:ext>
          </c:extLst>
        </c:ser>
        <c:ser>
          <c:idx val="7"/>
          <c:order val="7"/>
          <c:tx>
            <c:strRef>
              <c:f>INDIKÁTOR!$A$10:$B$10</c:f>
              <c:strCache>
                <c:ptCount val="2"/>
                <c:pt idx="0">
                  <c:v>Daňové výdavky</c:v>
                </c:pt>
                <c:pt idx="1">
                  <c:v>Uhlie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INDIKÁTOR!$C$18:$M$18</c:f>
              <c:strCach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 f</c:v>
                </c:pt>
              </c:strCache>
            </c:strRef>
          </c:cat>
          <c:val>
            <c:numRef>
              <c:f>INDIKÁTOR!$C$10:$M$10</c:f>
              <c:numCache>
                <c:formatCode>General</c:formatCode>
                <c:ptCount val="11"/>
                <c:pt idx="0">
                  <c:v>35.462202047999995</c:v>
                </c:pt>
                <c:pt idx="1">
                  <c:v>82.383244443000009</c:v>
                </c:pt>
                <c:pt idx="2">
                  <c:v>81.641072645999998</c:v>
                </c:pt>
                <c:pt idx="3">
                  <c:v>73.338249383999994</c:v>
                </c:pt>
                <c:pt idx="4">
                  <c:v>73.074965247000009</c:v>
                </c:pt>
                <c:pt idx="5">
                  <c:v>73.227296428599999</c:v>
                </c:pt>
                <c:pt idx="6">
                  <c:v>69.653233374599992</c:v>
                </c:pt>
                <c:pt idx="7">
                  <c:v>74.827075973999996</c:v>
                </c:pt>
                <c:pt idx="8">
                  <c:v>62.349394743799998</c:v>
                </c:pt>
                <c:pt idx="9">
                  <c:v>50.951730982799994</c:v>
                </c:pt>
                <c:pt idx="10">
                  <c:v>62.606435852916889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658-4D48-BEA4-55144ED2E6D0}"/>
            </c:ext>
          </c:extLst>
        </c:ser>
        <c:ser>
          <c:idx val="8"/>
          <c:order val="8"/>
          <c:tx>
            <c:strRef>
              <c:f>INDIKÁTOR!$A$11:$B$11</c:f>
              <c:strCache>
                <c:ptCount val="2"/>
                <c:pt idx="0">
                  <c:v>Daňové výdavky</c:v>
                </c:pt>
                <c:pt idx="1">
                  <c:v>Zemný plyn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INDIKÁTOR!$C$18:$M$18</c:f>
              <c:strCach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 f</c:v>
                </c:pt>
              </c:strCache>
            </c:strRef>
          </c:cat>
          <c:val>
            <c:numRef>
              <c:f>INDIKÁTOR!$C$11:$M$11</c:f>
              <c:numCache>
                <c:formatCode>General</c:formatCode>
                <c:ptCount val="11"/>
                <c:pt idx="0">
                  <c:v>54.413075100120004</c:v>
                </c:pt>
                <c:pt idx="1">
                  <c:v>51.644496879360005</c:v>
                </c:pt>
                <c:pt idx="2">
                  <c:v>51.027766984920007</c:v>
                </c:pt>
                <c:pt idx="3">
                  <c:v>42.953645226360003</c:v>
                </c:pt>
                <c:pt idx="4">
                  <c:v>46.662400506480004</c:v>
                </c:pt>
                <c:pt idx="5">
                  <c:v>50.436449312040004</c:v>
                </c:pt>
                <c:pt idx="6">
                  <c:v>53.24897866068001</c:v>
                </c:pt>
                <c:pt idx="7">
                  <c:v>55.03151102196</c:v>
                </c:pt>
                <c:pt idx="8">
                  <c:v>61.682877062399996</c:v>
                </c:pt>
                <c:pt idx="9">
                  <c:v>57.2044161942</c:v>
                </c:pt>
                <c:pt idx="10">
                  <c:v>62.575204355400011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658-4D48-BEA4-55144ED2E6D0}"/>
            </c:ext>
          </c:extLst>
        </c:ser>
        <c:ser>
          <c:idx val="9"/>
          <c:order val="9"/>
          <c:tx>
            <c:strRef>
              <c:f>INDIKÁTOR!$A$12:$B$12</c:f>
              <c:strCache>
                <c:ptCount val="2"/>
                <c:pt idx="0">
                  <c:v>Daňové výdavky</c:v>
                </c:pt>
                <c:pt idx="1">
                  <c:v>Elektrina</c:v>
                </c:pt>
              </c:strCache>
            </c:strRef>
          </c:tx>
          <c:spPr>
            <a:solidFill>
              <a:schemeClr val="accent1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INDIKÁTOR!$C$18:$M$18</c:f>
              <c:strCach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 f</c:v>
                </c:pt>
              </c:strCache>
            </c:strRef>
          </c:cat>
          <c:val>
            <c:numRef>
              <c:f>INDIKÁTOR!$C$12:$M$12</c:f>
              <c:numCache>
                <c:formatCode>General</c:formatCode>
                <c:ptCount val="11"/>
                <c:pt idx="0">
                  <c:v>3.7905002207606806</c:v>
                </c:pt>
                <c:pt idx="1">
                  <c:v>4.1614389916769374</c:v>
                </c:pt>
                <c:pt idx="2">
                  <c:v>3.7144453533678519</c:v>
                </c:pt>
                <c:pt idx="3">
                  <c:v>2.4286588421865103</c:v>
                </c:pt>
                <c:pt idx="4">
                  <c:v>2.4708356609044539</c:v>
                </c:pt>
                <c:pt idx="5">
                  <c:v>2.6496043611661215</c:v>
                </c:pt>
                <c:pt idx="6">
                  <c:v>2.9339813880071617</c:v>
                </c:pt>
                <c:pt idx="7">
                  <c:v>3.1489482511233611</c:v>
                </c:pt>
                <c:pt idx="8">
                  <c:v>3.1199887151216643</c:v>
                </c:pt>
                <c:pt idx="9">
                  <c:v>3.2541372419524697</c:v>
                </c:pt>
                <c:pt idx="10">
                  <c:v>3.5866143583923944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8658-4D48-BEA4-55144ED2E6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590638096"/>
        <c:axId val="590636128"/>
      </c:barChart>
      <c:scatterChart>
        <c:scatterStyle val="lineMarker"/>
        <c:varyColors val="0"/>
        <c:ser>
          <c:idx val="10"/>
          <c:order val="10"/>
          <c:tx>
            <c:strRef>
              <c:f>INDIKÁTOR!$B$22</c:f>
              <c:strCache>
                <c:ptCount val="1"/>
                <c:pt idx="0">
                  <c:v>Spolu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6350">
                <a:solidFill>
                  <a:schemeClr val="tx1"/>
                </a:solidFill>
              </a:ln>
              <a:effectLst/>
            </c:spPr>
          </c:marker>
          <c:xVal>
            <c:strRef>
              <c:f>INDIKÁTOR!$C$18:$M$18</c:f>
              <c:strCach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 f</c:v>
                </c:pt>
              </c:strCache>
            </c:strRef>
          </c:xVal>
          <c:yVal>
            <c:numRef>
              <c:f>INDIKÁTOR!$C$22:$M$22</c:f>
              <c:numCache>
                <c:formatCode>0.00</c:formatCode>
                <c:ptCount val="11"/>
                <c:pt idx="0">
                  <c:v>194.1360721984426</c:v>
                </c:pt>
                <c:pt idx="1">
                  <c:v>218.76272226403694</c:v>
                </c:pt>
                <c:pt idx="2">
                  <c:v>257.70297259428787</c:v>
                </c:pt>
                <c:pt idx="3">
                  <c:v>177.34068048056173</c:v>
                </c:pt>
                <c:pt idx="4">
                  <c:v>186.28984657319324</c:v>
                </c:pt>
                <c:pt idx="5">
                  <c:v>207.56007159980265</c:v>
                </c:pt>
                <c:pt idx="6">
                  <c:v>357.83708980174339</c:v>
                </c:pt>
                <c:pt idx="7">
                  <c:v>469.42746824749867</c:v>
                </c:pt>
                <c:pt idx="8">
                  <c:v>283.58740659024539</c:v>
                </c:pt>
                <c:pt idx="9">
                  <c:v>157.45067618084965</c:v>
                </c:pt>
                <c:pt idx="10">
                  <c:v>875.92390014918112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A-8658-4D48-BEA4-55144ED2E6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0638096"/>
        <c:axId val="590636128"/>
      </c:scatterChart>
      <c:dateAx>
        <c:axId val="5906380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egoe UI Semilight" panose="020B0402040204020203" pitchFamily="34" charset="0"/>
                <a:ea typeface="+mn-ea"/>
                <a:cs typeface="+mn-cs"/>
              </a:defRPr>
            </a:pPr>
            <a:endParaRPr lang="sk-SK"/>
          </a:p>
        </c:txPr>
        <c:crossAx val="590636128"/>
        <c:crosses val="autoZero"/>
        <c:auto val="0"/>
        <c:lblOffset val="100"/>
        <c:baseTimeUnit val="days"/>
      </c:dateAx>
      <c:valAx>
        <c:axId val="590636128"/>
        <c:scaling>
          <c:orientation val="minMax"/>
          <c:max val="900"/>
          <c:min val="-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egoe UI Semilight" panose="020B0402040204020203" pitchFamily="34" charset="0"/>
                <a:ea typeface="+mn-ea"/>
                <a:cs typeface="+mn-cs"/>
              </a:defRPr>
            </a:pPr>
            <a:endParaRPr lang="sk-SK"/>
          </a:p>
        </c:txPr>
        <c:crossAx val="590638096"/>
        <c:crosses val="autoZero"/>
        <c:crossBetween val="between"/>
      </c:valAx>
      <c:spPr>
        <a:noFill/>
        <a:ln>
          <a:noFill/>
        </a:ln>
        <a:effectLst>
          <a:softEdge rad="31750"/>
        </a:effectLst>
      </c:spPr>
    </c:plotArea>
    <c:legend>
      <c:legendPos val="r"/>
      <c:layout>
        <c:manualLayout>
          <c:xMode val="edge"/>
          <c:yMode val="edge"/>
          <c:x val="0.80679671985446266"/>
          <c:y val="2.5558022536215613E-2"/>
          <c:w val="0.18658952353178074"/>
          <c:h val="0.96981226305045198"/>
        </c:manualLayout>
      </c:layout>
      <c:overlay val="0"/>
      <c:spPr>
        <a:noFill/>
        <a:ln>
          <a:solidFill>
            <a:srgbClr val="00B0F0"/>
          </a:solidFill>
        </a:ln>
        <a:effectLst>
          <a:softEdge rad="31750"/>
        </a:effectLst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0" baseline="0">
              <a:solidFill>
                <a:schemeClr val="tx1">
                  <a:lumMod val="65000"/>
                  <a:lumOff val="35000"/>
                </a:schemeClr>
              </a:solidFill>
              <a:latin typeface="Segoe UI Semilight" panose="020B0402040204020203" pitchFamily="34" charset="0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581756938596567"/>
          <c:y val="7.953723788864786E-2"/>
          <c:w val="0.82567085398779394"/>
          <c:h val="0.6253295073473733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'output_priame dotácie'!$B$15</c:f>
              <c:strCache>
                <c:ptCount val="1"/>
                <c:pt idx="0">
                  <c:v>Uhlie</c:v>
                </c:pt>
              </c:strCache>
            </c:strRef>
          </c:tx>
          <c:spPr>
            <a:solidFill>
              <a:srgbClr val="0032C8"/>
            </a:solidFill>
            <a:ln>
              <a:noFill/>
            </a:ln>
            <a:effectLst/>
          </c:spPr>
          <c:invertIfNegative val="0"/>
          <c:cat>
            <c:numRef>
              <c:f>'output_priame dotácie'!$C$14:$M$14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'output_priame dotácie'!$C$15:$M$15</c:f>
              <c:numCache>
                <c:formatCode>0.000</c:formatCode>
                <c:ptCount val="11"/>
                <c:pt idx="0">
                  <c:v>76.652418029999993</c:v>
                </c:pt>
                <c:pt idx="1">
                  <c:v>57.234351490000002</c:v>
                </c:pt>
                <c:pt idx="2">
                  <c:v>77.735900549999997</c:v>
                </c:pt>
                <c:pt idx="3">
                  <c:v>99.351013780000002</c:v>
                </c:pt>
                <c:pt idx="4">
                  <c:v>102.53867240999999</c:v>
                </c:pt>
                <c:pt idx="5">
                  <c:v>105.06277043</c:v>
                </c:pt>
                <c:pt idx="6">
                  <c:v>106.11524460999999</c:v>
                </c:pt>
                <c:pt idx="7">
                  <c:v>115.75068216</c:v>
                </c:pt>
                <c:pt idx="8">
                  <c:v>123.16896927000001</c:v>
                </c:pt>
                <c:pt idx="9">
                  <c:v>120.74291364</c:v>
                </c:pt>
                <c:pt idx="10">
                  <c:v>88.787224980000005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BB-497B-A3DD-D6CFACA69C99}"/>
            </c:ext>
          </c:extLst>
        </c:ser>
        <c:ser>
          <c:idx val="1"/>
          <c:order val="1"/>
          <c:tx>
            <c:strRef>
              <c:f>'output_priame dotácie'!$B$16</c:f>
              <c:strCache>
                <c:ptCount val="1"/>
                <c:pt idx="0">
                  <c:v>Zemný plyn</c:v>
                </c:pt>
              </c:strCache>
            </c:strRef>
          </c:tx>
          <c:spPr>
            <a:solidFill>
              <a:srgbClr val="6E6E6E"/>
            </a:solidFill>
            <a:ln>
              <a:noFill/>
            </a:ln>
            <a:effectLst/>
          </c:spPr>
          <c:invertIfNegative val="0"/>
          <c:cat>
            <c:numRef>
              <c:f>'output_priame dotácie'!$C$14:$M$14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'output_priame dotácie'!$C$16:$M$16</c:f>
              <c:numCache>
                <c:formatCode>0.000</c:formatCode>
                <c:ptCount val="11"/>
                <c:pt idx="0">
                  <c:v>17.81582702</c:v>
                </c:pt>
                <c:pt idx="1">
                  <c:v>17.836662530000002</c:v>
                </c:pt>
                <c:pt idx="2">
                  <c:v>33.056661720000001</c:v>
                </c:pt>
                <c:pt idx="3">
                  <c:v>45.541944770000001</c:v>
                </c:pt>
                <c:pt idx="4">
                  <c:v>93.158769809999995</c:v>
                </c:pt>
                <c:pt idx="5">
                  <c:v>61.769205419999999</c:v>
                </c:pt>
                <c:pt idx="6">
                  <c:v>76.154975250000007</c:v>
                </c:pt>
                <c:pt idx="7">
                  <c:v>59.681074991602898</c:v>
                </c:pt>
                <c:pt idx="8">
                  <c:v>50.829232339947303</c:v>
                </c:pt>
                <c:pt idx="9">
                  <c:v>61.424190430000003</c:v>
                </c:pt>
                <c:pt idx="10">
                  <c:v>18.43240544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BB-497B-A3DD-D6CFACA69C99}"/>
            </c:ext>
          </c:extLst>
        </c:ser>
        <c:ser>
          <c:idx val="2"/>
          <c:order val="2"/>
          <c:tx>
            <c:strRef>
              <c:f>'output_priame dotácie'!$B$17</c:f>
              <c:strCache>
                <c:ptCount val="1"/>
                <c:pt idx="0">
                  <c:v>Elektrina</c:v>
                </c:pt>
              </c:strCache>
            </c:strRef>
          </c:tx>
          <c:spPr>
            <a:solidFill>
              <a:srgbClr val="3296FF"/>
            </a:solidFill>
            <a:ln>
              <a:noFill/>
            </a:ln>
            <a:effectLst/>
          </c:spPr>
          <c:invertIfNegative val="0"/>
          <c:cat>
            <c:numRef>
              <c:f>'output_priame dotácie'!$C$14:$M$14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'output_priame dotácie'!$C$17:$M$17</c:f>
              <c:numCache>
                <c:formatCode>0.000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1.9618326279052498</c:v>
                </c:pt>
                <c:pt idx="6">
                  <c:v>2.0559765072689702</c:v>
                </c:pt>
                <c:pt idx="7">
                  <c:v>10.135244833364364</c:v>
                </c:pt>
                <c:pt idx="8">
                  <c:v>9.6651878454983979</c:v>
                </c:pt>
                <c:pt idx="9">
                  <c:v>11.01682785434096</c:v>
                </c:pt>
                <c:pt idx="10">
                  <c:v>10.233862573707055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ABB-497B-A3DD-D6CFACA69C99}"/>
            </c:ext>
          </c:extLst>
        </c:ser>
        <c:ser>
          <c:idx val="3"/>
          <c:order val="3"/>
          <c:tx>
            <c:strRef>
              <c:f>'output_priame dotácie'!$B$18</c:f>
              <c:strCache>
                <c:ptCount val="1"/>
                <c:pt idx="0">
                  <c:v>Iné (KVET)</c:v>
                </c:pt>
              </c:strCache>
            </c:strRef>
          </c:tx>
          <c:spPr>
            <a:solidFill>
              <a:srgbClr val="A0A0A0"/>
            </a:solidFill>
            <a:ln>
              <a:noFill/>
            </a:ln>
            <a:effectLst/>
          </c:spPr>
          <c:invertIfNegative val="0"/>
          <c:val>
            <c:numRef>
              <c:f>'output_priame dotácie'!$C$18:$M$18</c:f>
              <c:numCache>
                <c:formatCode>0.000</c:formatCode>
                <c:ptCount val="11"/>
                <c:pt idx="0">
                  <c:v>6.1014396899999994</c:v>
                </c:pt>
                <c:pt idx="1">
                  <c:v>5.5025279299999994</c:v>
                </c:pt>
                <c:pt idx="2">
                  <c:v>10.52712534</c:v>
                </c:pt>
                <c:pt idx="3">
                  <c:v>13.199208469999999</c:v>
                </c:pt>
                <c:pt idx="4">
                  <c:v>10.460824799999999</c:v>
                </c:pt>
                <c:pt idx="5">
                  <c:v>18.459016699999999</c:v>
                </c:pt>
                <c:pt idx="6">
                  <c:v>25.671190509999999</c:v>
                </c:pt>
                <c:pt idx="7">
                  <c:v>26.13709729224</c:v>
                </c:pt>
                <c:pt idx="8">
                  <c:v>21.387010849140001</c:v>
                </c:pt>
                <c:pt idx="9">
                  <c:v>45.308053430000001</c:v>
                </c:pt>
                <c:pt idx="10">
                  <c:v>8.0016273000000009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ABB-497B-A3DD-D6CFACA69C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92017496"/>
        <c:axId val="592019136"/>
      </c:barChart>
      <c:catAx>
        <c:axId val="592017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egoe UI Semilight" panose="020B0402040204020203" pitchFamily="34" charset="0"/>
                <a:ea typeface="+mn-ea"/>
                <a:cs typeface="+mn-cs"/>
              </a:defRPr>
            </a:pPr>
            <a:endParaRPr lang="sk-SK"/>
          </a:p>
        </c:txPr>
        <c:crossAx val="592019136"/>
        <c:crosses val="autoZero"/>
        <c:auto val="1"/>
        <c:lblAlgn val="ctr"/>
        <c:lblOffset val="100"/>
        <c:noMultiLvlLbl val="0"/>
      </c:catAx>
      <c:valAx>
        <c:axId val="592019136"/>
        <c:scaling>
          <c:orientation val="minMax"/>
          <c:max val="2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egoe UI Semilight" panose="020B0402040204020203" pitchFamily="34" charset="0"/>
                <a:ea typeface="+mn-ea"/>
                <a:cs typeface="+mn-cs"/>
              </a:defRPr>
            </a:pPr>
            <a:endParaRPr lang="sk-SK"/>
          </a:p>
        </c:txPr>
        <c:crossAx val="592017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egoe UI Semilight" panose="020B0402040204020203" pitchFamily="34" charset="0"/>
                <a:ea typeface="+mn-ea"/>
                <a:cs typeface="Segoe UI Semilight" panose="020B0402040204020203" pitchFamily="34" charset="0"/>
              </a:defRPr>
            </a:pPr>
            <a:endParaRPr lang="sk-SK"/>
          </a:p>
        </c:txPr>
      </c:legendEntry>
      <c:layout>
        <c:manualLayout>
          <c:xMode val="edge"/>
          <c:yMode val="edge"/>
          <c:x val="7.666009775238955E-2"/>
          <c:y val="0.8876463923571376"/>
          <c:w val="0.84667980449522084"/>
          <c:h val="0.112353607642862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Segoe UI Semilight" panose="020B0402040204020203" pitchFamily="34" charset="0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>
      <a:softEdge rad="31750"/>
    </a:effectLst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3781487894926"/>
          <c:y val="7.953723788864786E-2"/>
          <c:w val="0.8359786976835365"/>
          <c:h val="0.6284705734993537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'output_priame dotácie'!$B$21</c:f>
              <c:strCache>
                <c:ptCount val="1"/>
                <c:pt idx="0">
                  <c:v>Výroba elektrickej energie</c:v>
                </c:pt>
              </c:strCache>
            </c:strRef>
          </c:tx>
          <c:spPr>
            <a:solidFill>
              <a:srgbClr val="0032C8"/>
            </a:solidFill>
            <a:ln>
              <a:noFill/>
            </a:ln>
            <a:effectLst/>
          </c:spPr>
          <c:invertIfNegative val="0"/>
          <c:cat>
            <c:numRef>
              <c:f>'output_priame dotácie'!$C$20:$M$20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'output_priame dotácie'!$C$21:$M$21</c:f>
              <c:numCache>
                <c:formatCode>0.000</c:formatCode>
                <c:ptCount val="11"/>
                <c:pt idx="0">
                  <c:v>100.56968474</c:v>
                </c:pt>
                <c:pt idx="1">
                  <c:v>80.573541949999992</c:v>
                </c:pt>
                <c:pt idx="2">
                  <c:v>121.31968761</c:v>
                </c:pt>
                <c:pt idx="3">
                  <c:v>158.09216701999998</c:v>
                </c:pt>
                <c:pt idx="4">
                  <c:v>160.03135191999999</c:v>
                </c:pt>
                <c:pt idx="5">
                  <c:v>185.29099255</c:v>
                </c:pt>
                <c:pt idx="6">
                  <c:v>207.94141037</c:v>
                </c:pt>
                <c:pt idx="7">
                  <c:v>201.56885444384289</c:v>
                </c:pt>
                <c:pt idx="8">
                  <c:v>195.38521245908731</c:v>
                </c:pt>
                <c:pt idx="9">
                  <c:v>227.47515750000002</c:v>
                </c:pt>
                <c:pt idx="10">
                  <c:v>115.22125772000001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2A-49F0-8C7B-A0F6958496BD}"/>
            </c:ext>
          </c:extLst>
        </c:ser>
        <c:ser>
          <c:idx val="1"/>
          <c:order val="1"/>
          <c:tx>
            <c:strRef>
              <c:f>'output_priame dotácie'!$B$22</c:f>
              <c:strCache>
                <c:ptCount val="1"/>
                <c:pt idx="0">
                  <c:v>Domácnosti</c:v>
                </c:pt>
              </c:strCache>
            </c:strRef>
          </c:tx>
          <c:spPr>
            <a:solidFill>
              <a:srgbClr val="6E6E6E"/>
            </a:solidFill>
            <a:ln>
              <a:noFill/>
            </a:ln>
            <a:effectLst/>
          </c:spPr>
          <c:invertIfNegative val="0"/>
          <c:cat>
            <c:numRef>
              <c:f>'output_priame dotácie'!$C$20:$M$20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'output_priame dotácie'!$C$22:$M$22</c:f>
              <c:numCache>
                <c:formatCode>0.000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46.126915099999998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2A-49F0-8C7B-A0F6958496BD}"/>
            </c:ext>
          </c:extLst>
        </c:ser>
        <c:ser>
          <c:idx val="2"/>
          <c:order val="2"/>
          <c:tx>
            <c:strRef>
              <c:f>'output_priame dotácie'!$B$23</c:f>
              <c:strCache>
                <c:ptCount val="1"/>
                <c:pt idx="0">
                  <c:v>Priemysel</c:v>
                </c:pt>
              </c:strCache>
            </c:strRef>
          </c:tx>
          <c:spPr>
            <a:solidFill>
              <a:srgbClr val="3296FF"/>
            </a:solidFill>
            <a:ln>
              <a:noFill/>
            </a:ln>
            <a:effectLst/>
          </c:spPr>
          <c:invertIfNegative val="0"/>
          <c:cat>
            <c:numRef>
              <c:f>'output_priame dotácie'!$C$20:$M$20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'output_priame dotácie'!$C$23:$M$23</c:f>
              <c:numCache>
                <c:formatCode>0.000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1.9618326279052498</c:v>
                </c:pt>
                <c:pt idx="6">
                  <c:v>2.0559765072689702</c:v>
                </c:pt>
                <c:pt idx="7">
                  <c:v>10.135244833364364</c:v>
                </c:pt>
                <c:pt idx="8">
                  <c:v>9.6651878454983979</c:v>
                </c:pt>
                <c:pt idx="9">
                  <c:v>11.01682785434096</c:v>
                </c:pt>
                <c:pt idx="10">
                  <c:v>10.233862573707055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02A-49F0-8C7B-A0F6958496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91462704"/>
        <c:axId val="791457784"/>
      </c:barChart>
      <c:catAx>
        <c:axId val="791462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egoe UI Semilight" panose="020B0402040204020203" pitchFamily="34" charset="0"/>
                <a:ea typeface="+mn-ea"/>
                <a:cs typeface="+mn-cs"/>
              </a:defRPr>
            </a:pPr>
            <a:endParaRPr lang="sk-SK"/>
          </a:p>
        </c:txPr>
        <c:crossAx val="791457784"/>
        <c:crosses val="autoZero"/>
        <c:auto val="1"/>
        <c:lblAlgn val="ctr"/>
        <c:lblOffset val="100"/>
        <c:noMultiLvlLbl val="0"/>
      </c:catAx>
      <c:valAx>
        <c:axId val="791457784"/>
        <c:scaling>
          <c:orientation val="minMax"/>
          <c:max val="2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>
            <a:softEdge rad="12700"/>
          </a:effectLst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egoe UI Semilight" panose="020B0402040204020203" pitchFamily="34" charset="0"/>
                <a:ea typeface="+mn-ea"/>
                <a:cs typeface="+mn-cs"/>
              </a:defRPr>
            </a:pPr>
            <a:endParaRPr lang="sk-SK"/>
          </a:p>
        </c:txPr>
        <c:crossAx val="791462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5"/>
          <c:y val="0.89487705034701448"/>
          <c:w val="0.9"/>
          <c:h val="0.1051229496529853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Segoe UI Semilight" panose="020B0402040204020203" pitchFamily="34" charset="0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>
      <a:softEdge rad="31750"/>
    </a:effectLst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Segoe UI Semilight" panose="020B0402040204020203" pitchFamily="34" charset="0"/>
                <a:ea typeface="+mn-ea"/>
                <a:cs typeface="+mn-cs"/>
              </a:defRPr>
            </a:pPr>
            <a:r>
              <a:rPr lang="sk-SK" sz="900" baseline="0">
                <a:latin typeface="Segoe UI Semilight" panose="020B0402040204020203" pitchFamily="34" charset="0"/>
              </a:rPr>
              <a:t>Podiel fosílnej energie na energetickom mixe</a:t>
            </a:r>
          </a:p>
        </c:rich>
      </c:tx>
      <c:layout>
        <c:manualLayout>
          <c:xMode val="edge"/>
          <c:yMode val="edge"/>
          <c:x val="0.28432275811635854"/>
          <c:y val="3.703726381014192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Segoe UI Semilight" panose="020B0402040204020203" pitchFamily="34" charset="0"/>
              <a:ea typeface="+mn-ea"/>
              <a:cs typeface="+mn-cs"/>
            </a:defRPr>
          </a:pPr>
          <a:endParaRPr lang="sk-SK"/>
        </a:p>
      </c:txPr>
    </c:title>
    <c:autoTitleDeleted val="0"/>
    <c:plotArea>
      <c:layout>
        <c:manualLayout>
          <c:layoutTarget val="inner"/>
          <c:xMode val="edge"/>
          <c:yMode val="edge"/>
          <c:x val="0.15889355623203688"/>
          <c:y val="0.24094120816546455"/>
          <c:w val="0.81140881957789834"/>
          <c:h val="0.522031324622524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'fosílne palivá_energia'!$A$17</c:f>
              <c:strCache>
                <c:ptCount val="1"/>
                <c:pt idx="0">
                  <c:v>Nefosílna energia</c:v>
                </c:pt>
              </c:strCache>
            </c:strRef>
          </c:tx>
          <c:spPr>
            <a:solidFill>
              <a:srgbClr val="0032C8"/>
            </a:solidFill>
            <a:ln>
              <a:noFill/>
            </a:ln>
            <a:effectLst/>
          </c:spPr>
          <c:invertIfNegative val="0"/>
          <c:cat>
            <c:strRef>
              <c:f>'fosílne palivá_energia'!$B$16:$L$16</c:f>
              <c:strCach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strCache>
            </c:strRef>
          </c:cat>
          <c:val>
            <c:numRef>
              <c:f>'fosílne palivá_energia'!$B$17:$L$17</c:f>
              <c:numCache>
                <c:formatCode>General</c:formatCode>
                <c:ptCount val="11"/>
                <c:pt idx="0">
                  <c:v>20778.187000000002</c:v>
                </c:pt>
                <c:pt idx="1">
                  <c:v>21305</c:v>
                </c:pt>
                <c:pt idx="2">
                  <c:v>22391</c:v>
                </c:pt>
                <c:pt idx="3">
                  <c:v>21981</c:v>
                </c:pt>
                <c:pt idx="4">
                  <c:v>21457</c:v>
                </c:pt>
                <c:pt idx="5">
                  <c:v>21650</c:v>
                </c:pt>
                <c:pt idx="6">
                  <c:v>21912</c:v>
                </c:pt>
                <c:pt idx="7">
                  <c:v>20938</c:v>
                </c:pt>
                <c:pt idx="8">
                  <c:v>22141</c:v>
                </c:pt>
                <c:pt idx="9">
                  <c:v>22583</c:v>
                </c:pt>
                <c:pt idx="10">
                  <c:v>22141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C2-4A59-BD01-477617807320}"/>
            </c:ext>
          </c:extLst>
        </c:ser>
        <c:ser>
          <c:idx val="1"/>
          <c:order val="1"/>
          <c:tx>
            <c:strRef>
              <c:f>'fosílne palivá_energia'!$A$18</c:f>
              <c:strCache>
                <c:ptCount val="1"/>
                <c:pt idx="0">
                  <c:v>Fosílna energia</c:v>
                </c:pt>
              </c:strCache>
            </c:strRef>
          </c:tx>
          <c:spPr>
            <a:solidFill>
              <a:srgbClr val="3296FF"/>
            </a:solidFill>
            <a:ln>
              <a:noFill/>
            </a:ln>
            <a:effectLst/>
          </c:spPr>
          <c:invertIfNegative val="0"/>
          <c:cat>
            <c:strRef>
              <c:f>'fosílne palivá_energia'!$B$16:$L$16</c:f>
              <c:strCach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strCache>
            </c:strRef>
          </c:cat>
          <c:val>
            <c:numRef>
              <c:f>'fosílne palivá_energia'!$B$18:$L$18</c:f>
              <c:numCache>
                <c:formatCode>General</c:formatCode>
                <c:ptCount val="11"/>
                <c:pt idx="0">
                  <c:v>7800</c:v>
                </c:pt>
                <c:pt idx="1">
                  <c:v>7290</c:v>
                </c:pt>
                <c:pt idx="2">
                  <c:v>6372</c:v>
                </c:pt>
                <c:pt idx="3">
                  <c:v>5302</c:v>
                </c:pt>
                <c:pt idx="4">
                  <c:v>5346</c:v>
                </c:pt>
                <c:pt idx="5">
                  <c:v>5284</c:v>
                </c:pt>
                <c:pt idx="6">
                  <c:v>5671</c:v>
                </c:pt>
                <c:pt idx="7">
                  <c:v>5917</c:v>
                </c:pt>
                <c:pt idx="8">
                  <c:v>6260</c:v>
                </c:pt>
                <c:pt idx="9">
                  <c:v>6224</c:v>
                </c:pt>
                <c:pt idx="10">
                  <c:v>6260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1C2-4A59-BD01-4776178073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65489944"/>
        <c:axId val="365486008"/>
      </c:barChart>
      <c:catAx>
        <c:axId val="365489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egoe UI Semilight" panose="020B0402040204020203" pitchFamily="34" charset="0"/>
                <a:ea typeface="+mn-ea"/>
                <a:cs typeface="+mn-cs"/>
              </a:defRPr>
            </a:pPr>
            <a:endParaRPr lang="sk-SK"/>
          </a:p>
        </c:txPr>
        <c:crossAx val="365486008"/>
        <c:crosses val="autoZero"/>
        <c:auto val="1"/>
        <c:lblAlgn val="ctr"/>
        <c:lblOffset val="100"/>
        <c:noMultiLvlLbl val="0"/>
      </c:catAx>
      <c:valAx>
        <c:axId val="365486008"/>
        <c:scaling>
          <c:orientation val="minMax"/>
          <c:max val="3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Segoe UI Semilight" panose="020B0402040204020203" pitchFamily="34" charset="0"/>
                    <a:ea typeface="+mn-ea"/>
                    <a:cs typeface="+mn-cs"/>
                  </a:defRPr>
                </a:pPr>
                <a:r>
                  <a:rPr lang="sk-SK" sz="800" baseline="0">
                    <a:latin typeface="Segoe UI Semilight" panose="020B0402040204020203" pitchFamily="34" charset="0"/>
                  </a:rPr>
                  <a:t>GWh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Segoe UI Semilight" panose="020B0402040204020203" pitchFamily="34" charset="0"/>
                  <a:ea typeface="+mn-ea"/>
                  <a:cs typeface="+mn-cs"/>
                </a:defRPr>
              </a:pPr>
              <a:endParaRPr lang="sk-SK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egoe UI Semilight" panose="020B0402040204020203" pitchFamily="34" charset="0"/>
                <a:ea typeface="+mn-ea"/>
                <a:cs typeface="+mn-cs"/>
              </a:defRPr>
            </a:pPr>
            <a:endParaRPr lang="sk-SK"/>
          </a:p>
        </c:txPr>
        <c:crossAx val="365489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egoe UI Semilight" panose="020B0402040204020203" pitchFamily="34" charset="0"/>
                <a:ea typeface="+mn-ea"/>
                <a:cs typeface="+mn-cs"/>
              </a:defRPr>
            </a:pPr>
            <a:endParaRPr lang="sk-SK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egoe UI Semilight" panose="020B0402040204020203" pitchFamily="34" charset="0"/>
                <a:ea typeface="+mn-ea"/>
                <a:cs typeface="+mn-cs"/>
              </a:defRPr>
            </a:pPr>
            <a:endParaRPr lang="sk-SK"/>
          </a:p>
        </c:txPr>
      </c:legendEntry>
      <c:layout>
        <c:manualLayout>
          <c:xMode val="edge"/>
          <c:yMode val="edge"/>
          <c:x val="0.28820003061172428"/>
          <c:y val="0.86361972055203817"/>
          <c:w val="0.42359993877655144"/>
          <c:h val="0.1208281799145246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Segoe UI Semilight" panose="020B0402040204020203" pitchFamily="34" charset="0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047782340327635"/>
          <c:y val="7.953723788864786E-2"/>
          <c:w val="0.83101059997048332"/>
          <c:h val="0.6325601653372504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'output daňové výdavky'!$B$20</c:f>
              <c:strCache>
                <c:ptCount val="1"/>
                <c:pt idx="0">
                  <c:v>Uhlie</c:v>
                </c:pt>
              </c:strCache>
            </c:strRef>
          </c:tx>
          <c:spPr>
            <a:solidFill>
              <a:srgbClr val="0032C8"/>
            </a:solidFill>
            <a:ln>
              <a:noFill/>
            </a:ln>
            <a:effectLst/>
          </c:spPr>
          <c:invertIfNegative val="0"/>
          <c:cat>
            <c:numRef>
              <c:f>'output daňové výdavky'!$C$19:$M$19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'output daňové výdavky'!$C$20:$M$20</c:f>
              <c:numCache>
                <c:formatCode>0.000</c:formatCode>
                <c:ptCount val="11"/>
                <c:pt idx="0">
                  <c:v>35.462202047999995</c:v>
                </c:pt>
                <c:pt idx="1">
                  <c:v>82.383244443000009</c:v>
                </c:pt>
                <c:pt idx="2">
                  <c:v>81.641072645999998</c:v>
                </c:pt>
                <c:pt idx="3">
                  <c:v>73.338249383999994</c:v>
                </c:pt>
                <c:pt idx="4">
                  <c:v>73.074965247000009</c:v>
                </c:pt>
                <c:pt idx="5">
                  <c:v>73.227296428599999</c:v>
                </c:pt>
                <c:pt idx="6">
                  <c:v>69.653233374599992</c:v>
                </c:pt>
                <c:pt idx="7">
                  <c:v>74.827075973999996</c:v>
                </c:pt>
                <c:pt idx="8">
                  <c:v>62.349394743799998</c:v>
                </c:pt>
                <c:pt idx="9">
                  <c:v>50.951730982799994</c:v>
                </c:pt>
                <c:pt idx="10">
                  <c:v>62.606435852916889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21-482B-9F05-8A2A1ED0CEA0}"/>
            </c:ext>
          </c:extLst>
        </c:ser>
        <c:ser>
          <c:idx val="1"/>
          <c:order val="1"/>
          <c:tx>
            <c:strRef>
              <c:f>'output daňové výdavky'!$B$21</c:f>
              <c:strCache>
                <c:ptCount val="1"/>
                <c:pt idx="0">
                  <c:v>Zemný plyn</c:v>
                </c:pt>
              </c:strCache>
            </c:strRef>
          </c:tx>
          <c:spPr>
            <a:solidFill>
              <a:srgbClr val="6E6E6E"/>
            </a:solidFill>
            <a:ln>
              <a:noFill/>
            </a:ln>
            <a:effectLst/>
          </c:spPr>
          <c:invertIfNegative val="0"/>
          <c:cat>
            <c:numRef>
              <c:f>'output daňové výdavky'!$C$19:$M$19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'output daňové výdavky'!$C$21:$M$21</c:f>
              <c:numCache>
                <c:formatCode>0.000</c:formatCode>
                <c:ptCount val="11"/>
                <c:pt idx="0">
                  <c:v>54.413075100120004</c:v>
                </c:pt>
                <c:pt idx="1">
                  <c:v>51.644496879360005</c:v>
                </c:pt>
                <c:pt idx="2">
                  <c:v>51.027766984920007</c:v>
                </c:pt>
                <c:pt idx="3">
                  <c:v>42.953645226360003</c:v>
                </c:pt>
                <c:pt idx="4">
                  <c:v>46.662400506480004</c:v>
                </c:pt>
                <c:pt idx="5">
                  <c:v>50.436449312040004</c:v>
                </c:pt>
                <c:pt idx="6">
                  <c:v>53.24897866068001</c:v>
                </c:pt>
                <c:pt idx="7">
                  <c:v>55.03151102196</c:v>
                </c:pt>
                <c:pt idx="8">
                  <c:v>61.682877062399996</c:v>
                </c:pt>
                <c:pt idx="9">
                  <c:v>57.2044161942</c:v>
                </c:pt>
                <c:pt idx="10">
                  <c:v>62.575204355400011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21-482B-9F05-8A2A1ED0CEA0}"/>
            </c:ext>
          </c:extLst>
        </c:ser>
        <c:ser>
          <c:idx val="2"/>
          <c:order val="2"/>
          <c:tx>
            <c:strRef>
              <c:f>'output daňové výdavky'!$B$22</c:f>
              <c:strCache>
                <c:ptCount val="1"/>
                <c:pt idx="0">
                  <c:v>Elektrina</c:v>
                </c:pt>
              </c:strCache>
            </c:strRef>
          </c:tx>
          <c:spPr>
            <a:solidFill>
              <a:srgbClr val="3296FF"/>
            </a:solidFill>
            <a:ln>
              <a:noFill/>
            </a:ln>
            <a:effectLst/>
          </c:spPr>
          <c:invertIfNegative val="0"/>
          <c:cat>
            <c:numRef>
              <c:f>'output daňové výdavky'!$C$19:$M$19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'output daňové výdavky'!$C$22:$M$22</c:f>
              <c:numCache>
                <c:formatCode>0.000</c:formatCode>
                <c:ptCount val="11"/>
                <c:pt idx="0">
                  <c:v>3.7905002207606806</c:v>
                </c:pt>
                <c:pt idx="1">
                  <c:v>4.1614389916769374</c:v>
                </c:pt>
                <c:pt idx="2">
                  <c:v>3.7144453533678519</c:v>
                </c:pt>
                <c:pt idx="3">
                  <c:v>2.4286588421865103</c:v>
                </c:pt>
                <c:pt idx="4">
                  <c:v>2.4708356609044539</c:v>
                </c:pt>
                <c:pt idx="5">
                  <c:v>2.6496043611661215</c:v>
                </c:pt>
                <c:pt idx="6">
                  <c:v>2.9339813880071617</c:v>
                </c:pt>
                <c:pt idx="7">
                  <c:v>3.1489482511233611</c:v>
                </c:pt>
                <c:pt idx="8">
                  <c:v>3.1199887151216643</c:v>
                </c:pt>
                <c:pt idx="9">
                  <c:v>3.2541372419524697</c:v>
                </c:pt>
                <c:pt idx="10">
                  <c:v>3.5866143583923944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921-482B-9F05-8A2A1ED0CE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5667368"/>
        <c:axId val="195668024"/>
      </c:barChart>
      <c:catAx>
        <c:axId val="195667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egoe UI Semilight" panose="020B0402040204020203" pitchFamily="34" charset="0"/>
                <a:ea typeface="+mn-ea"/>
                <a:cs typeface="+mn-cs"/>
              </a:defRPr>
            </a:pPr>
            <a:endParaRPr lang="sk-SK"/>
          </a:p>
        </c:txPr>
        <c:crossAx val="195668024"/>
        <c:crosses val="autoZero"/>
        <c:auto val="1"/>
        <c:lblAlgn val="ctr"/>
        <c:lblOffset val="100"/>
        <c:noMultiLvlLbl val="0"/>
      </c:catAx>
      <c:valAx>
        <c:axId val="195668024"/>
        <c:scaling>
          <c:orientation val="minMax"/>
          <c:max val="14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egoe UI Semilight" panose="020B0402040204020203" pitchFamily="34" charset="0"/>
                <a:ea typeface="+mn-ea"/>
                <a:cs typeface="+mn-cs"/>
              </a:defRPr>
            </a:pPr>
            <a:endParaRPr lang="sk-SK"/>
          </a:p>
        </c:txPr>
        <c:crossAx val="195667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418763944473866"/>
          <c:y val="0.86595441838750631"/>
          <c:w val="0.61162437385514246"/>
          <c:h val="0.126814923622616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Segoe UI Semilight" panose="020B0402040204020203" pitchFamily="34" charset="0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>
      <a:softEdge rad="31750"/>
    </a:effectLst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711925432397873"/>
          <c:y val="7.953723788864786E-2"/>
          <c:w val="0.84587219866747421"/>
          <c:h val="0.5943230794632232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'output daňové výdavky'!$B$25</c:f>
              <c:strCache>
                <c:ptCount val="1"/>
                <c:pt idx="0">
                  <c:v>Výroba elektrickej energie</c:v>
                </c:pt>
              </c:strCache>
            </c:strRef>
          </c:tx>
          <c:spPr>
            <a:solidFill>
              <a:srgbClr val="0032C8"/>
            </a:solidFill>
            <a:ln>
              <a:noFill/>
            </a:ln>
            <a:effectLst/>
          </c:spPr>
          <c:invertIfNegative val="0"/>
          <c:cat>
            <c:numRef>
              <c:f>'output daňové výdavky'!$C$24:$M$24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'output daňové výdavky'!$C$25:$M$25</c:f>
              <c:numCache>
                <c:formatCode>0.000</c:formatCode>
                <c:ptCount val="11"/>
                <c:pt idx="0">
                  <c:v>59.14523881037335</c:v>
                </c:pt>
                <c:pt idx="1">
                  <c:v>55.473932512068338</c:v>
                </c:pt>
                <c:pt idx="2">
                  <c:v>52.730840708388932</c:v>
                </c:pt>
                <c:pt idx="3">
                  <c:v>40.88055316533832</c:v>
                </c:pt>
                <c:pt idx="4">
                  <c:v>42.668764625140497</c:v>
                </c:pt>
                <c:pt idx="5">
                  <c:v>42.273864951951765</c:v>
                </c:pt>
                <c:pt idx="6">
                  <c:v>42.652961722464092</c:v>
                </c:pt>
                <c:pt idx="7">
                  <c:v>47.917370334875635</c:v>
                </c:pt>
                <c:pt idx="8">
                  <c:v>50.938862144811367</c:v>
                </c:pt>
                <c:pt idx="9">
                  <c:v>41.263083411666379</c:v>
                </c:pt>
                <c:pt idx="10">
                  <c:v>45.515440606978729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51-4102-9C24-CC64DEAF7D0F}"/>
            </c:ext>
          </c:extLst>
        </c:ser>
        <c:ser>
          <c:idx val="1"/>
          <c:order val="1"/>
          <c:tx>
            <c:strRef>
              <c:f>'output daňové výdavky'!$B$26</c:f>
              <c:strCache>
                <c:ptCount val="1"/>
                <c:pt idx="0">
                  <c:v>Domácnosti</c:v>
                </c:pt>
              </c:strCache>
            </c:strRef>
          </c:tx>
          <c:spPr>
            <a:solidFill>
              <a:srgbClr val="6E6E6E"/>
            </a:solidFill>
            <a:ln>
              <a:noFill/>
            </a:ln>
            <a:effectLst/>
          </c:spPr>
          <c:invertIfNegative val="0"/>
          <c:cat>
            <c:numRef>
              <c:f>'output daňové výdavky'!$C$24:$M$24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'output daňové výdavky'!$C$26:$M$26</c:f>
              <c:numCache>
                <c:formatCode>0.000</c:formatCode>
                <c:ptCount val="11"/>
                <c:pt idx="0">
                  <c:v>8.254968877614294</c:v>
                </c:pt>
                <c:pt idx="1">
                  <c:v>9.7752033651363739</c:v>
                </c:pt>
                <c:pt idx="2">
                  <c:v>8.9510280162003504</c:v>
                </c:pt>
                <c:pt idx="3">
                  <c:v>8.9909752426136222</c:v>
                </c:pt>
                <c:pt idx="4">
                  <c:v>9.4038802904950636</c:v>
                </c:pt>
                <c:pt idx="5">
                  <c:v>9.0276631975724477</c:v>
                </c:pt>
                <c:pt idx="6">
                  <c:v>8.9012534678454163</c:v>
                </c:pt>
                <c:pt idx="7">
                  <c:v>8.4618070467687314</c:v>
                </c:pt>
                <c:pt idx="8">
                  <c:v>8.9326023472828187</c:v>
                </c:pt>
                <c:pt idx="9">
                  <c:v>10.042452643101633</c:v>
                </c:pt>
                <c:pt idx="10">
                  <c:v>10.238893201300105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51-4102-9C24-CC64DEAF7D0F}"/>
            </c:ext>
          </c:extLst>
        </c:ser>
        <c:ser>
          <c:idx val="2"/>
          <c:order val="2"/>
          <c:tx>
            <c:strRef>
              <c:f>'output daňové výdavky'!$B$27</c:f>
              <c:strCache>
                <c:ptCount val="1"/>
                <c:pt idx="0">
                  <c:v>Priemysel</c:v>
                </c:pt>
              </c:strCache>
            </c:strRef>
          </c:tx>
          <c:spPr>
            <a:solidFill>
              <a:srgbClr val="3296FF"/>
            </a:solidFill>
            <a:ln>
              <a:noFill/>
            </a:ln>
            <a:effectLst/>
          </c:spPr>
          <c:invertIfNegative val="0"/>
          <c:cat>
            <c:numRef>
              <c:f>'output daňové výdavky'!$C$24:$M$24</c:f>
              <c:numCache>
                <c:formatCode>General</c:formatCode>
                <c:ptCount val="11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</c:numCache>
            </c:numRef>
          </c:cat>
          <c:val>
            <c:numRef>
              <c:f>'output daňové výdavky'!$C$27:$M$27</c:f>
              <c:numCache>
                <c:formatCode>0.000</c:formatCode>
                <c:ptCount val="11"/>
                <c:pt idx="0">
                  <c:v>26.265569680893027</c:v>
                </c:pt>
                <c:pt idx="1">
                  <c:v>72.940044436832224</c:v>
                </c:pt>
                <c:pt idx="2">
                  <c:v>74.701416259698576</c:v>
                </c:pt>
                <c:pt idx="3">
                  <c:v>68.849025044594569</c:v>
                </c:pt>
                <c:pt idx="4">
                  <c:v>70.135556498748912</c:v>
                </c:pt>
                <c:pt idx="5">
                  <c:v>75.01182195228192</c:v>
                </c:pt>
                <c:pt idx="6">
                  <c:v>74.281978232977664</c:v>
                </c:pt>
                <c:pt idx="7">
                  <c:v>76.628357865439</c:v>
                </c:pt>
                <c:pt idx="8">
                  <c:v>67.280796029227474</c:v>
                </c:pt>
                <c:pt idx="9">
                  <c:v>60.104748364184452</c:v>
                </c:pt>
                <c:pt idx="10">
                  <c:v>73.013920758430459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A51-4102-9C24-CC64DEAF7D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63023592"/>
        <c:axId val="663021952"/>
      </c:barChart>
      <c:catAx>
        <c:axId val="663023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>
            <a:softEdge rad="31750"/>
          </a:effectLst>
        </c:spPr>
        <c:txPr>
          <a:bodyPr rot="-60000000" spcFirstLastPara="1" vertOverflow="ellipsis" vert="horz" wrap="square" anchor="ctr" anchorCtr="1"/>
          <a:lstStyle/>
          <a:p>
            <a:pPr>
              <a:defRPr sz="87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egoe UI Semilight" panose="020B0402040204020203" pitchFamily="34" charset="0"/>
                <a:ea typeface="+mn-ea"/>
                <a:cs typeface="+mn-cs"/>
              </a:defRPr>
            </a:pPr>
            <a:endParaRPr lang="sk-SK"/>
          </a:p>
        </c:txPr>
        <c:crossAx val="663021952"/>
        <c:crosses val="autoZero"/>
        <c:auto val="1"/>
        <c:lblAlgn val="ctr"/>
        <c:lblOffset val="100"/>
        <c:noMultiLvlLbl val="0"/>
      </c:catAx>
      <c:valAx>
        <c:axId val="663021952"/>
        <c:scaling>
          <c:orientation val="minMax"/>
          <c:max val="1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egoe UI Semilight" panose="020B0402040204020203" pitchFamily="34" charset="0"/>
                <a:ea typeface="+mn-ea"/>
                <a:cs typeface="+mn-cs"/>
              </a:defRPr>
            </a:pPr>
            <a:endParaRPr lang="sk-SK"/>
          </a:p>
        </c:txPr>
        <c:crossAx val="663023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Segoe UI Semilight" panose="020B0402040204020203" pitchFamily="34" charset="0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584778060405075"/>
          <c:y val="7.953723788864786E-2"/>
          <c:w val="0.82564064276970894"/>
          <c:h val="0.7107082059428038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'output_nepriame dotácie'!$B$18</c:f>
              <c:strCache>
                <c:ptCount val="1"/>
                <c:pt idx="0">
                  <c:v>Uhlie</c:v>
                </c:pt>
              </c:strCache>
            </c:strRef>
          </c:tx>
          <c:spPr>
            <a:solidFill>
              <a:srgbClr val="0032C8"/>
            </a:solidFill>
            <a:ln>
              <a:noFill/>
            </a:ln>
            <a:effectLst/>
          </c:spPr>
          <c:invertIfNegative val="0"/>
          <c:cat>
            <c:numRef>
              <c:f>'output_nepriame dotácie'!$F$17:$M$17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'output_nepriame dotácie'!$F$18:$M$18</c:f>
              <c:numCache>
                <c:formatCode>0.000</c:formatCode>
                <c:ptCount val="8"/>
                <c:pt idx="0">
                  <c:v>-3.5230791373339319</c:v>
                </c:pt>
                <c:pt idx="1">
                  <c:v>-3.9634247115768311</c:v>
                </c:pt>
                <c:pt idx="2">
                  <c:v>-3.8111429207503336</c:v>
                </c:pt>
                <c:pt idx="3">
                  <c:v>-6.9531562614400011</c:v>
                </c:pt>
                <c:pt idx="4">
                  <c:v>-5.4733412589149992</c:v>
                </c:pt>
                <c:pt idx="5">
                  <c:v>-4.2212392341630007</c:v>
                </c:pt>
                <c:pt idx="6">
                  <c:v>-3.7638030891409993</c:v>
                </c:pt>
                <c:pt idx="7">
                  <c:v>-4.0595996701049994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A5-491A-8BCC-75FA866D60EC}"/>
            </c:ext>
          </c:extLst>
        </c:ser>
        <c:ser>
          <c:idx val="1"/>
          <c:order val="1"/>
          <c:tx>
            <c:strRef>
              <c:f>'output_nepriame dotácie'!$B$19</c:f>
              <c:strCache>
                <c:ptCount val="1"/>
                <c:pt idx="0">
                  <c:v>Zemný plyn</c:v>
                </c:pt>
              </c:strCache>
            </c:strRef>
          </c:tx>
          <c:spPr>
            <a:solidFill>
              <a:srgbClr val="6E6E6E"/>
            </a:solidFill>
            <a:ln>
              <a:noFill/>
            </a:ln>
            <a:effectLst/>
          </c:spPr>
          <c:invertIfNegative val="0"/>
          <c:cat>
            <c:numRef>
              <c:f>'output_nepriame dotácie'!$F$17:$M$17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'output_nepriame dotácie'!$F$19:$M$19</c:f>
              <c:numCache>
                <c:formatCode>0.000</c:formatCode>
                <c:ptCount val="8"/>
                <c:pt idx="0">
                  <c:v>-98.556480299999976</c:v>
                </c:pt>
                <c:pt idx="1">
                  <c:v>-140.8550204</c:v>
                </c:pt>
                <c:pt idx="2">
                  <c:v>-105.03685719999997</c:v>
                </c:pt>
                <c:pt idx="3">
                  <c:v>4.048037400000009</c:v>
                </c:pt>
                <c:pt idx="4">
                  <c:v>71.692648300000045</c:v>
                </c:pt>
                <c:pt idx="5">
                  <c:v>-75.721356800000024</c:v>
                </c:pt>
                <c:pt idx="6">
                  <c:v>-182.15483040000004</c:v>
                </c:pt>
                <c:pt idx="7">
                  <c:v>494.51066399999991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A5-491A-8BCC-75FA866D60EC}"/>
            </c:ext>
          </c:extLst>
        </c:ser>
        <c:ser>
          <c:idx val="2"/>
          <c:order val="2"/>
          <c:tx>
            <c:strRef>
              <c:f>'output_nepriame dotácie'!$B$20</c:f>
              <c:strCache>
                <c:ptCount val="1"/>
                <c:pt idx="0">
                  <c:v>Elektrina</c:v>
                </c:pt>
              </c:strCache>
            </c:strRef>
          </c:tx>
          <c:spPr>
            <a:solidFill>
              <a:srgbClr val="3296FF"/>
            </a:solidFill>
            <a:ln>
              <a:noFill/>
            </a:ln>
            <a:effectLst/>
          </c:spPr>
          <c:invertIfNegative val="0"/>
          <c:cat>
            <c:numRef>
              <c:f>'output_nepriame dotácie'!$F$17:$M$17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'output_nepriame dotácie'!$F$20:$M$20</c:f>
              <c:numCache>
                <c:formatCode>0.000</c:formatCode>
                <c:ptCount val="8"/>
                <c:pt idx="0">
                  <c:v>2.6075194453491166</c:v>
                </c:pt>
                <c:pt idx="1">
                  <c:v>2.7418232503856368</c:v>
                </c:pt>
                <c:pt idx="2">
                  <c:v>2.8418964408415901</c:v>
                </c:pt>
                <c:pt idx="3">
                  <c:v>24.90862836262724</c:v>
                </c:pt>
                <c:pt idx="4">
                  <c:v>58.496526682123033</c:v>
                </c:pt>
                <c:pt idx="5">
                  <c:v>31.327341798501067</c:v>
                </c:pt>
                <c:pt idx="6">
                  <c:v>-6.5329601033027487</c:v>
                </c:pt>
                <c:pt idx="7">
                  <c:v>131.2494609588698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EA5-491A-8BCC-75FA866D60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98684024"/>
        <c:axId val="798684352"/>
      </c:barChart>
      <c:catAx>
        <c:axId val="798684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egoe UI Semilight" panose="020B0402040204020203" pitchFamily="34" charset="0"/>
                <a:ea typeface="+mn-ea"/>
                <a:cs typeface="+mn-cs"/>
              </a:defRPr>
            </a:pPr>
            <a:endParaRPr lang="sk-SK"/>
          </a:p>
        </c:txPr>
        <c:crossAx val="798684352"/>
        <c:crosses val="autoZero"/>
        <c:auto val="1"/>
        <c:lblAlgn val="ctr"/>
        <c:lblOffset val="100"/>
        <c:noMultiLvlLbl val="0"/>
      </c:catAx>
      <c:valAx>
        <c:axId val="798684352"/>
        <c:scaling>
          <c:orientation val="minMax"/>
          <c:max val="650"/>
          <c:min val="-2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egoe UI Semilight" panose="020B0402040204020203" pitchFamily="34" charset="0"/>
                <a:ea typeface="+mn-ea"/>
                <a:cs typeface="+mn-cs"/>
              </a:defRPr>
            </a:pPr>
            <a:endParaRPr lang="sk-SK"/>
          </a:p>
        </c:txPr>
        <c:crossAx val="798684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0981413155770082"/>
          <c:y val="0.87948428897580866"/>
          <c:w val="0.58037138962921808"/>
          <c:h val="0.113285053034314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Segoe UI Semilight" panose="020B0402040204020203" pitchFamily="34" charset="0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0.01341</cdr:x>
      <cdr:y>0.04583</cdr:y>
    </cdr:from>
    <cdr:to>
      <cdr:x>0.03173</cdr:x>
      <cdr:y>0.27533</cdr:y>
    </cdr:to>
    <cdr:sp macro="" textlink="">
      <cdr:nvSpPr>
        <cdr:cNvPr id="2" name="BlokTextu 1"/>
        <cdr:cNvSpPr txBox="1"/>
      </cdr:nvSpPr>
      <cdr:spPr>
        <a:xfrm xmlns:a="http://schemas.openxmlformats.org/drawingml/2006/main">
          <a:off x="146050" y="277133"/>
          <a:ext cx="199571" cy="13879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sk-SK" sz="1100"/>
        </a:p>
      </cdr:txBody>
    </cdr:sp>
  </cdr:relSizeAnchor>
  <cdr:relSizeAnchor xmlns:cdr="http://schemas.openxmlformats.org/drawingml/2006/chartDrawing">
    <cdr:from>
      <cdr:x>0.0011</cdr:x>
      <cdr:y>0.00644</cdr:y>
    </cdr:from>
    <cdr:to>
      <cdr:x>0.12346</cdr:x>
      <cdr:y>0.46781</cdr:y>
    </cdr:to>
    <cdr:sp macro="" textlink="">
      <cdr:nvSpPr>
        <cdr:cNvPr id="3" name="Textové pole 2"/>
        <cdr:cNvSpPr txBox="1"/>
      </cdr:nvSpPr>
      <cdr:spPr>
        <a:xfrm xmlns:a="http://schemas.openxmlformats.org/drawingml/2006/main">
          <a:off x="6336" y="19057"/>
          <a:ext cx="704864" cy="13652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/>
        <a:lstStyle xmlns:a="http://schemas.openxmlformats.org/drawingml/2006/main"/>
        <a:p xmlns:a="http://schemas.openxmlformats.org/drawingml/2006/main">
          <a:r>
            <a:rPr lang="sk-SK" sz="830" b="0" baseline="0">
              <a:latin typeface="Segoe UI Semilight" panose="020B0402040204020203" pitchFamily="34" charset="0"/>
            </a:rPr>
            <a:t>Vyššia cena pre zraniteľných odberateľov- potreba dotácie</a:t>
          </a:r>
        </a:p>
      </cdr:txBody>
    </cdr:sp>
  </cdr:relSizeAnchor>
  <cdr:relSizeAnchor xmlns:cdr="http://schemas.openxmlformats.org/drawingml/2006/chartDrawing">
    <cdr:from>
      <cdr:x>0.0011</cdr:x>
      <cdr:y>0.47425</cdr:y>
    </cdr:from>
    <cdr:to>
      <cdr:x>0.08708</cdr:x>
      <cdr:y>0.89485</cdr:y>
    </cdr:to>
    <cdr:sp macro="" textlink="">
      <cdr:nvSpPr>
        <cdr:cNvPr id="4" name="Textové pole 3"/>
        <cdr:cNvSpPr txBox="1"/>
      </cdr:nvSpPr>
      <cdr:spPr>
        <a:xfrm xmlns:a="http://schemas.openxmlformats.org/drawingml/2006/main">
          <a:off x="6337" y="1403353"/>
          <a:ext cx="495313" cy="12445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/>
        <a:lstStyle xmlns:a="http://schemas.openxmlformats.org/drawingml/2006/main"/>
        <a:p xmlns:a="http://schemas.openxmlformats.org/drawingml/2006/main">
          <a:r>
            <a:rPr lang="sk-SK" sz="830" baseline="0">
              <a:latin typeface="Segoe UI Semilight" panose="020B0402040204020203" pitchFamily="34" charset="0"/>
            </a:rPr>
            <a:t>Nižšia cena pre zraniteľných odberateľov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0.58689</cdr:x>
      <cdr:y>0.38029</cdr:y>
    </cdr:from>
    <cdr:to>
      <cdr:x>0.62453</cdr:x>
      <cdr:y>0.98931</cdr:y>
    </cdr:to>
    <cdr:sp macro="" textlink="">
      <cdr:nvSpPr>
        <cdr:cNvPr id="2" name="Obdĺžnik 1"/>
        <cdr:cNvSpPr/>
      </cdr:nvSpPr>
      <cdr:spPr>
        <a:xfrm xmlns:a="http://schemas.openxmlformats.org/drawingml/2006/main">
          <a:off x="3354429" y="669151"/>
          <a:ext cx="215153" cy="107163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solidFill>
            <a:srgbClr val="0070C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sk-SK"/>
        </a:p>
      </cdr:txBody>
    </cdr:sp>
  </cdr:relSizeAnchor>
  <cdr:relSizeAnchor xmlns:cdr="http://schemas.openxmlformats.org/drawingml/2006/chartDrawing">
    <cdr:from>
      <cdr:x>0.72548</cdr:x>
      <cdr:y>0.38628</cdr:y>
    </cdr:from>
    <cdr:to>
      <cdr:x>0.76655</cdr:x>
      <cdr:y>0.98654</cdr:y>
    </cdr:to>
    <cdr:sp macro="" textlink="">
      <cdr:nvSpPr>
        <cdr:cNvPr id="3" name="Obdĺžnik 2"/>
        <cdr:cNvSpPr/>
      </cdr:nvSpPr>
      <cdr:spPr>
        <a:xfrm xmlns:a="http://schemas.openxmlformats.org/drawingml/2006/main">
          <a:off x="4146584" y="679687"/>
          <a:ext cx="234712" cy="105620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solidFill>
            <a:srgbClr val="0070C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sk-SK"/>
        </a:p>
      </cdr:txBody>
    </cdr:sp>
  </cdr:relSizeAnchor>
</c:userShape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EF7F2-0DB7-4C6D-9B7C-DC546024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18</Pages>
  <Words>5091</Words>
  <Characters>29021</Characters>
  <Application>Microsoft Office Word</Application>
  <DocSecurity>0</DocSecurity>
  <Lines>241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Preto Anton</dc:creator>
  <cp:keywords/>
  <dc:description/>
  <cp:lastModifiedBy>Hricisinova Miroslava</cp:lastModifiedBy>
  <cp:revision>76</cp:revision>
  <cp:lastPrinted>2023-01-03T12:31:00Z</cp:lastPrinted>
  <dcterms:created xsi:type="dcterms:W3CDTF">2023-01-05T12:34:00Z</dcterms:created>
  <dcterms:modified xsi:type="dcterms:W3CDTF">2023-02-14T14:09:00Z</dcterms:modified>
</cp:coreProperties>
</file>