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3E47A" w14:textId="487F4175" w:rsidR="00C91BE7" w:rsidRPr="00526A6A" w:rsidRDefault="00CD6F9F">
      <w:pPr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526A6A">
        <w:rPr>
          <w:rFonts w:ascii="Arial Narrow" w:hAnsi="Arial Narrow" w:cs="Arial"/>
          <w:b/>
          <w:sz w:val="24"/>
          <w:szCs w:val="24"/>
        </w:rPr>
        <w:t xml:space="preserve">ČASŤ </w:t>
      </w:r>
      <w:r w:rsidR="00276CA4">
        <w:rPr>
          <w:rFonts w:ascii="Arial Narrow" w:hAnsi="Arial Narrow" w:cs="Arial"/>
          <w:b/>
          <w:sz w:val="24"/>
          <w:szCs w:val="24"/>
        </w:rPr>
        <w:t>A</w:t>
      </w:r>
      <w:r w:rsidRPr="00526A6A">
        <w:rPr>
          <w:rFonts w:ascii="Arial Narrow" w:hAnsi="Arial Narrow" w:cs="Arial"/>
          <w:b/>
          <w:sz w:val="24"/>
          <w:szCs w:val="24"/>
        </w:rPr>
        <w:t>:</w:t>
      </w:r>
      <w:r w:rsidR="001078A8" w:rsidRPr="00526A6A">
        <w:rPr>
          <w:rFonts w:ascii="Arial Narrow" w:hAnsi="Arial Narrow" w:cs="Arial"/>
          <w:b/>
          <w:sz w:val="24"/>
          <w:szCs w:val="24"/>
        </w:rPr>
        <w:t xml:space="preserve"> </w:t>
      </w:r>
      <w:r w:rsidRPr="00526A6A">
        <w:rPr>
          <w:rFonts w:ascii="Arial Narrow" w:hAnsi="Arial Narrow" w:cs="Arial"/>
          <w:b/>
          <w:sz w:val="24"/>
          <w:szCs w:val="24"/>
        </w:rPr>
        <w:t>MINIMÁLNE TECHNICKO-</w:t>
      </w:r>
      <w:r w:rsidR="00C91BE7" w:rsidRPr="00526A6A">
        <w:rPr>
          <w:rFonts w:ascii="Arial Narrow" w:hAnsi="Arial Narrow" w:cs="Arial"/>
          <w:b/>
          <w:sz w:val="24"/>
          <w:szCs w:val="24"/>
        </w:rPr>
        <w:t xml:space="preserve">STAVEBNÉ POŽIADAVKY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61"/>
        <w:gridCol w:w="6601"/>
      </w:tblGrid>
      <w:tr w:rsidR="00C91BE7" w:rsidRPr="00526A6A" w14:paraId="1928504C" w14:textId="77777777" w:rsidTr="00C91BE7">
        <w:trPr>
          <w:trHeight w:val="44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CF5745" w14:textId="0860750C" w:rsidR="00C91BE7" w:rsidRPr="00526A6A" w:rsidRDefault="00932220" w:rsidP="003D7020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Oprávnené územie</w:t>
            </w: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42AE3013" w14:textId="2B69E027" w:rsidR="00932220" w:rsidRPr="00C21D18" w:rsidRDefault="00932220" w:rsidP="00932220">
            <w:pPr>
              <w:spacing w:after="0"/>
              <w:rPr>
                <w:rFonts w:ascii="Arial Narrow" w:hAnsi="Arial Narrow"/>
              </w:rPr>
            </w:pPr>
            <w:r w:rsidRPr="00C21D18">
              <w:rPr>
                <w:rFonts w:ascii="Arial Narrow" w:hAnsi="Arial Narrow"/>
              </w:rPr>
              <w:t>Pre túto výzvu je oprávnené iba územie:</w:t>
            </w:r>
            <w:r w:rsidRPr="00C21D18">
              <w:rPr>
                <w:rFonts w:ascii="Arial Narrow" w:hAnsi="Arial Narrow"/>
              </w:rPr>
              <w:br/>
              <w:t>a) mestský uzol</w:t>
            </w:r>
            <w:r w:rsidRPr="00C21D18">
              <w:rPr>
                <w:rStyle w:val="Odkaznapoznmkupodiarou"/>
                <w:rFonts w:ascii="Arial Narrow" w:hAnsi="Arial Narrow"/>
              </w:rPr>
              <w:footnoteReference w:id="1"/>
            </w:r>
          </w:p>
          <w:p w14:paraId="70C037C4" w14:textId="2F771C4D" w:rsidR="00C91BE7" w:rsidRPr="00C21D18" w:rsidRDefault="00932220" w:rsidP="0093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21D18">
              <w:rPr>
                <w:rFonts w:ascii="Arial Narrow" w:hAnsi="Arial Narrow"/>
              </w:rPr>
              <w:t>b) oblasť pozdĺž hlavnej siete TEN-T</w:t>
            </w:r>
            <w:r w:rsidRPr="00C21D18">
              <w:rPr>
                <w:rStyle w:val="Odkaznapoznmkupodiarou"/>
                <w:rFonts w:ascii="Arial Narrow" w:hAnsi="Arial Narrow"/>
              </w:rPr>
              <w:footnoteReference w:id="2"/>
            </w:r>
          </w:p>
        </w:tc>
      </w:tr>
      <w:tr w:rsidR="00932220" w:rsidRPr="00526A6A" w14:paraId="1E7B5615" w14:textId="77777777" w:rsidTr="00015DFC">
        <w:trPr>
          <w:trHeight w:val="395"/>
        </w:trPr>
        <w:tc>
          <w:tcPr>
            <w:tcW w:w="1358" w:type="pct"/>
            <w:vMerge w:val="restart"/>
            <w:shd w:val="clear" w:color="auto" w:fill="BDD6EE" w:themeFill="accent1" w:themeFillTint="66"/>
          </w:tcPr>
          <w:p w14:paraId="0D516CA3" w14:textId="180A53AB" w:rsidR="00932220" w:rsidRPr="00526A6A" w:rsidRDefault="00932220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Inžinierske siete</w:t>
            </w:r>
          </w:p>
        </w:tc>
        <w:tc>
          <w:tcPr>
            <w:tcW w:w="3642" w:type="pct"/>
            <w:tcBorders>
              <w:bottom w:val="single" w:sz="4" w:space="0" w:color="auto"/>
            </w:tcBorders>
            <w:shd w:val="clear" w:color="auto" w:fill="auto"/>
          </w:tcPr>
          <w:p w14:paraId="07C15234" w14:textId="209408CE" w:rsidR="00932220" w:rsidRPr="00C21D18" w:rsidRDefault="00932220" w:rsidP="00EB21CA">
            <w:pPr>
              <w:jc w:val="both"/>
              <w:rPr>
                <w:rFonts w:ascii="Arial Narrow" w:hAnsi="Arial Narrow" w:cs="Arial"/>
              </w:rPr>
            </w:pPr>
            <w:r w:rsidRPr="00C21D18">
              <w:rPr>
                <w:rFonts w:ascii="Arial Narrow" w:hAnsi="Arial Narrow" w:cs="Arial"/>
              </w:rPr>
              <w:t>Pilotná vodíková plniaca stanica môže byť integrovaná na výrobu vodíka z OZE</w:t>
            </w:r>
          </w:p>
        </w:tc>
      </w:tr>
      <w:tr w:rsidR="00932220" w:rsidRPr="00526A6A" w14:paraId="26B1455B" w14:textId="77777777" w:rsidTr="00C91BE7">
        <w:trPr>
          <w:trHeight w:val="569"/>
        </w:trPr>
        <w:tc>
          <w:tcPr>
            <w:tcW w:w="1358" w:type="pct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2B7365" w14:textId="77777777" w:rsidR="00932220" w:rsidRDefault="00932220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  <w:shd w:val="clear" w:color="auto" w:fill="auto"/>
          </w:tcPr>
          <w:p w14:paraId="07F6EB65" w14:textId="7C7D0458" w:rsidR="00932220" w:rsidRPr="00C21D18" w:rsidRDefault="00932220" w:rsidP="00932220">
            <w:pPr>
              <w:jc w:val="both"/>
              <w:rPr>
                <w:rFonts w:ascii="Arial Narrow" w:hAnsi="Arial Narrow" w:cs="Arial"/>
              </w:rPr>
            </w:pPr>
            <w:r w:rsidRPr="00C21D18">
              <w:rPr>
                <w:rFonts w:ascii="Arial Narrow" w:hAnsi="Arial Narrow" w:cs="Arial"/>
              </w:rPr>
              <w:t xml:space="preserve">Prijímateľ sa zmluvne zaväzuje, že vybudovaná </w:t>
            </w:r>
            <w:r w:rsidR="00722D29" w:rsidRPr="00C21D18">
              <w:rPr>
                <w:rFonts w:ascii="Arial Narrow" w:hAnsi="Arial Narrow" w:cs="Arial"/>
              </w:rPr>
              <w:t>plniaca</w:t>
            </w:r>
            <w:r w:rsidRPr="00C21D18">
              <w:rPr>
                <w:rFonts w:ascii="Arial Narrow" w:hAnsi="Arial Narrow" w:cs="Arial"/>
              </w:rPr>
              <w:t xml:space="preserve"> stanica bude</w:t>
            </w:r>
            <w:r w:rsidRPr="00C21D18">
              <w:rPr>
                <w:rFonts w:ascii="Arial Narrow" w:hAnsi="Arial Narrow"/>
              </w:rPr>
              <w:t xml:space="preserve"> najneskôr do 31. decembra 2035 dodávať výlučne obnoviteľný vodík.</w:t>
            </w:r>
          </w:p>
        </w:tc>
      </w:tr>
      <w:tr w:rsidR="00276CA4" w:rsidRPr="00526A6A" w14:paraId="14529CB8" w14:textId="77777777" w:rsidTr="00A87AEE">
        <w:trPr>
          <w:trHeight w:val="720"/>
        </w:trPr>
        <w:tc>
          <w:tcPr>
            <w:tcW w:w="1358" w:type="pct"/>
            <w:vMerge w:val="restart"/>
            <w:shd w:val="clear" w:color="auto" w:fill="BDD6EE" w:themeFill="accent1" w:themeFillTint="66"/>
          </w:tcPr>
          <w:p w14:paraId="75420B79" w14:textId="7D1B9154" w:rsidR="00276CA4" w:rsidRPr="00526A6A" w:rsidRDefault="00276CA4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Stavebná a technologická časť</w:t>
            </w:r>
          </w:p>
        </w:tc>
        <w:tc>
          <w:tcPr>
            <w:tcW w:w="3642" w:type="pct"/>
            <w:tcBorders>
              <w:bottom w:val="single" w:sz="4" w:space="0" w:color="auto"/>
            </w:tcBorders>
            <w:shd w:val="clear" w:color="auto" w:fill="auto"/>
          </w:tcPr>
          <w:p w14:paraId="1AFDC3F0" w14:textId="3D116083" w:rsidR="00276CA4" w:rsidRPr="00C21D18" w:rsidRDefault="00276CA4" w:rsidP="00EB21CA">
            <w:pPr>
              <w:rPr>
                <w:rFonts w:ascii="Arial Narrow" w:hAnsi="Arial Narrow" w:cs="Arial"/>
              </w:rPr>
            </w:pPr>
            <w:r w:rsidRPr="00C21D18">
              <w:rPr>
                <w:rFonts w:ascii="Arial Narrow" w:hAnsi="Arial Narrow" w:cs="Arial"/>
              </w:rPr>
              <w:t>Stavba musí spĺňať technickú normu ISO 19880-1:2020</w:t>
            </w:r>
          </w:p>
        </w:tc>
      </w:tr>
      <w:tr w:rsidR="00276CA4" w:rsidRPr="00526A6A" w14:paraId="18357D46" w14:textId="77777777" w:rsidTr="00A87AEE">
        <w:trPr>
          <w:trHeight w:val="720"/>
        </w:trPr>
        <w:tc>
          <w:tcPr>
            <w:tcW w:w="1358" w:type="pct"/>
            <w:vMerge/>
            <w:shd w:val="clear" w:color="auto" w:fill="BDD6EE" w:themeFill="accent1" w:themeFillTint="66"/>
          </w:tcPr>
          <w:p w14:paraId="0D93C72E" w14:textId="77777777" w:rsidR="00276CA4" w:rsidRDefault="00276CA4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  <w:shd w:val="clear" w:color="auto" w:fill="auto"/>
          </w:tcPr>
          <w:p w14:paraId="794CF3E4" w14:textId="324A7D37" w:rsidR="00276CA4" w:rsidRPr="00932220" w:rsidRDefault="00276CA4" w:rsidP="00EB21CA">
            <w:pPr>
              <w:rPr>
                <w:rFonts w:ascii="Arial Narrow" w:hAnsi="Arial Narrow" w:cs="Arial"/>
              </w:rPr>
            </w:pPr>
            <w:r w:rsidRPr="00932220">
              <w:rPr>
                <w:rFonts w:ascii="Arial Narrow" w:hAnsi="Arial Narrow" w:cs="Arial"/>
              </w:rPr>
              <w:t>Plniaca stanica musí byť schopná obsluhovať osobné a ľahké úžitkové vozidlá (M1, N1) ako aj vozidlá na prepravu osôb (M2,M3) a nákladné vozidlá (N2, N3).</w:t>
            </w:r>
          </w:p>
        </w:tc>
      </w:tr>
      <w:tr w:rsidR="00276CA4" w:rsidRPr="00526A6A" w14:paraId="716BEEFC" w14:textId="77777777" w:rsidTr="00C71006">
        <w:trPr>
          <w:trHeight w:val="534"/>
        </w:trPr>
        <w:tc>
          <w:tcPr>
            <w:tcW w:w="1358" w:type="pct"/>
            <w:vMerge/>
            <w:shd w:val="clear" w:color="auto" w:fill="BDD6EE" w:themeFill="accent1" w:themeFillTint="66"/>
          </w:tcPr>
          <w:p w14:paraId="199D461E" w14:textId="77777777" w:rsidR="00276CA4" w:rsidRDefault="00276CA4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  <w:shd w:val="clear" w:color="auto" w:fill="auto"/>
          </w:tcPr>
          <w:p w14:paraId="4197A399" w14:textId="12F742AB" w:rsidR="00276CA4" w:rsidRDefault="00276CA4" w:rsidP="00C21D1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Stanica musí byť vybavená min. 2 plniacimi konektormi (</w:t>
            </w:r>
            <w:r w:rsidRPr="00C21D18">
              <w:rPr>
                <w:rFonts w:ascii="Arial Narrow" w:hAnsi="Arial Narrow" w:cs="Arial"/>
              </w:rPr>
              <w:t>SAE J2600:2002</w:t>
            </w:r>
            <w:r>
              <w:rPr>
                <w:rFonts w:ascii="Arial Narrow" w:hAnsi="Arial Narrow" w:cs="Arial"/>
              </w:rPr>
              <w:t>) s </w:t>
            </w:r>
            <w:r w:rsidRPr="00932220">
              <w:rPr>
                <w:rFonts w:ascii="Arial Narrow" w:hAnsi="Arial Narrow" w:cs="Arial"/>
              </w:rPr>
              <w:t>kompatibilitou</w:t>
            </w:r>
            <w:r>
              <w:rPr>
                <w:rFonts w:ascii="Arial Narrow" w:hAnsi="Arial Narrow" w:cs="Arial"/>
              </w:rPr>
              <w:t xml:space="preserve"> plniaceho tlaku</w:t>
            </w:r>
            <w:r w:rsidRPr="00932220">
              <w:rPr>
                <w:rFonts w:ascii="Arial Narrow" w:hAnsi="Arial Narrow" w:cs="Arial"/>
              </w:rPr>
              <w:t xml:space="preserve"> 350/700bar</w:t>
            </w:r>
            <w:r>
              <w:rPr>
                <w:rFonts w:ascii="Arial Narrow" w:hAnsi="Arial Narrow" w:cs="Arial"/>
              </w:rPr>
              <w:t xml:space="preserve"> (H35, H70)</w:t>
            </w:r>
          </w:p>
        </w:tc>
      </w:tr>
      <w:tr w:rsidR="00276CA4" w:rsidRPr="00526A6A" w14:paraId="6FCBD80E" w14:textId="77777777" w:rsidTr="00C91BE7">
        <w:trPr>
          <w:trHeight w:val="534"/>
        </w:trPr>
        <w:tc>
          <w:tcPr>
            <w:tcW w:w="1358" w:type="pct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164BF2D" w14:textId="77777777" w:rsidR="00276CA4" w:rsidRDefault="00276CA4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  <w:shd w:val="clear" w:color="auto" w:fill="auto"/>
          </w:tcPr>
          <w:p w14:paraId="3106DFFE" w14:textId="27F65947" w:rsidR="00276CA4" w:rsidRDefault="00276CA4" w:rsidP="00C21D1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Plniaca stanica musí mať dennú výdajnú kapacitu min. 400 kg vodíka. Táto kapacita musí byť navýšená na min. 500 kg najneskôr do 31.12.3030 v zmysle nariadenia AFIR</w:t>
            </w:r>
            <w:r>
              <w:rPr>
                <w:rStyle w:val="Odkaznapoznmkupodiarou"/>
                <w:rFonts w:ascii="Arial Narrow" w:hAnsi="Arial Narrow" w:cs="Arial"/>
              </w:rPr>
              <w:footnoteReference w:id="3"/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EB21CA" w:rsidRPr="00526A6A" w14:paraId="6AFBF8E6" w14:textId="77777777" w:rsidTr="00C91BE7">
        <w:trPr>
          <w:trHeight w:val="270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AA82D" w14:textId="77777777" w:rsidR="00EB21CA" w:rsidRPr="00526A6A" w:rsidRDefault="00EB21CA" w:rsidP="00EB21C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Autentifikácia zákazníka</w:t>
            </w: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6D42A98D" w14:textId="77777777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Minimálne jedna z možnosti:</w:t>
            </w:r>
          </w:p>
          <w:p w14:paraId="316F72F2" w14:textId="2D4A7256" w:rsidR="00EB21CA" w:rsidRPr="00526A6A" w:rsidRDefault="00EB21CA" w:rsidP="00EB21CA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29" w:hanging="346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autentifikácia cez internet/mobilnú aplikáciu aj s možnosťou ad hoc platby za </w:t>
            </w:r>
            <w:r w:rsidR="00721BD7">
              <w:rPr>
                <w:rFonts w:ascii="Arial Narrow" w:hAnsi="Arial Narrow" w:cs="Arial"/>
              </w:rPr>
              <w:t>plnenie</w:t>
            </w:r>
            <w:r w:rsidRPr="00526A6A">
              <w:rPr>
                <w:rFonts w:ascii="Arial Narrow" w:hAnsi="Arial Narrow" w:cs="Arial"/>
              </w:rPr>
              <w:t xml:space="preserve"> použitím nástrojov (napr. QR kód, RFID karta alebo kreditná debetná karta);</w:t>
            </w:r>
          </w:p>
          <w:p w14:paraId="6975E5C0" w14:textId="00ADD16E" w:rsidR="00EB21CA" w:rsidRPr="00526A6A" w:rsidRDefault="00EB21CA" w:rsidP="00EB21CA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29" w:hanging="346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platobný terminál na kreditné a debetné platobné karty.</w:t>
            </w:r>
          </w:p>
        </w:tc>
      </w:tr>
      <w:tr w:rsidR="00EB21CA" w:rsidRPr="00526A6A" w14:paraId="0F684B6D" w14:textId="77777777" w:rsidTr="00C91BE7">
        <w:trPr>
          <w:trHeight w:val="25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AF77F" w14:textId="1A034417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526A6A">
              <w:rPr>
                <w:rFonts w:ascii="Arial Narrow" w:hAnsi="Arial Narrow" w:cs="Arial"/>
                <w:b/>
              </w:rPr>
              <w:t xml:space="preserve">Komunikácia s </w:t>
            </w:r>
            <w:proofErr w:type="spellStart"/>
            <w:r w:rsidRPr="00526A6A">
              <w:rPr>
                <w:rFonts w:ascii="Arial Narrow" w:hAnsi="Arial Narrow" w:cs="Arial"/>
                <w:b/>
              </w:rPr>
              <w:t>back</w:t>
            </w:r>
            <w:proofErr w:type="spellEnd"/>
            <w:r w:rsidRPr="00526A6A">
              <w:rPr>
                <w:rFonts w:ascii="Arial Narrow" w:hAnsi="Arial Narrow" w:cs="Arial"/>
                <w:b/>
              </w:rPr>
              <w:t>-end systémom</w:t>
            </w: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13F3EA18" w14:textId="339FF8C9" w:rsidR="00EB21CA" w:rsidRPr="00526A6A" w:rsidRDefault="00721BD7" w:rsidP="00EB21C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Prevádzkovateľ musí byť schopný poskytnúť MH SR statické a dynamické dáta o infraštruktúre</w:t>
            </w:r>
            <w:r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EB21CA" w:rsidRPr="00526A6A" w14:paraId="047CD0CE" w14:textId="77777777" w:rsidTr="00C91BE7">
        <w:trPr>
          <w:trHeight w:val="252"/>
        </w:trPr>
        <w:tc>
          <w:tcPr>
            <w:tcW w:w="135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4ED4BCF" w14:textId="77777777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>Správa o využívaní</w:t>
            </w: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15FC20A3" w14:textId="795A1A90" w:rsidR="00EB21CA" w:rsidRPr="00526A6A" w:rsidRDefault="00EB21CA" w:rsidP="00721BD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 xml:space="preserve">Správa o využívaní </w:t>
            </w:r>
            <w:r w:rsidR="00721BD7">
              <w:rPr>
                <w:rFonts w:ascii="Arial Narrow" w:hAnsi="Arial Narrow"/>
                <w:sz w:val="22"/>
                <w:szCs w:val="22"/>
              </w:rPr>
              <w:t>plniacej stanice</w:t>
            </w:r>
            <w:r w:rsidRPr="00526A6A">
              <w:rPr>
                <w:rFonts w:ascii="Arial Narrow" w:hAnsi="Arial Narrow"/>
                <w:sz w:val="22"/>
                <w:szCs w:val="22"/>
              </w:rPr>
              <w:t xml:space="preserve"> musí obsahovať informácie o</w:t>
            </w:r>
            <w:r w:rsidR="00721BD7">
              <w:rPr>
                <w:rFonts w:ascii="Arial Narrow" w:hAnsi="Arial Narrow"/>
                <w:sz w:val="22"/>
                <w:szCs w:val="22"/>
              </w:rPr>
              <w:t> plniacej stanice</w:t>
            </w:r>
            <w:r w:rsidRPr="00526A6A">
              <w:rPr>
                <w:rFonts w:ascii="Arial Narrow" w:hAnsi="Arial Narrow"/>
                <w:sz w:val="22"/>
                <w:szCs w:val="22"/>
              </w:rPr>
              <w:t xml:space="preserve">  a</w:t>
            </w:r>
            <w:r w:rsidR="00721BD7">
              <w:rPr>
                <w:rFonts w:ascii="Arial Narrow" w:hAnsi="Arial Narrow"/>
                <w:sz w:val="22"/>
                <w:szCs w:val="22"/>
              </w:rPr>
              <w:t> </w:t>
            </w:r>
            <w:r w:rsidRPr="00526A6A">
              <w:rPr>
                <w:rFonts w:ascii="Arial Narrow" w:hAnsi="Arial Narrow"/>
                <w:sz w:val="22"/>
                <w:szCs w:val="22"/>
              </w:rPr>
              <w:t>je</w:t>
            </w:r>
            <w:r w:rsidR="00721BD7">
              <w:rPr>
                <w:rFonts w:ascii="Arial Narrow" w:hAnsi="Arial Narrow"/>
                <w:sz w:val="22"/>
                <w:szCs w:val="22"/>
              </w:rPr>
              <w:t xml:space="preserve">j </w:t>
            </w:r>
            <w:r w:rsidRPr="00526A6A">
              <w:rPr>
                <w:rFonts w:ascii="Arial Narrow" w:hAnsi="Arial Narrow"/>
                <w:sz w:val="22"/>
                <w:szCs w:val="22"/>
              </w:rPr>
              <w:t>využívaní za príslušn</w:t>
            </w:r>
            <w:r w:rsidR="00721BD7">
              <w:rPr>
                <w:rFonts w:ascii="Arial Narrow" w:hAnsi="Arial Narrow"/>
                <w:sz w:val="22"/>
                <w:szCs w:val="22"/>
              </w:rPr>
              <w:t>ý kalendárny rok, t. j. druh a objem vydaného vodíka</w:t>
            </w:r>
            <w:r w:rsidRPr="00526A6A">
              <w:rPr>
                <w:rFonts w:ascii="Arial Narrow" w:hAnsi="Arial Narrow"/>
                <w:sz w:val="22"/>
                <w:szCs w:val="22"/>
              </w:rPr>
              <w:t xml:space="preserve">, počet </w:t>
            </w:r>
            <w:r w:rsidR="00721BD7">
              <w:rPr>
                <w:rFonts w:ascii="Arial Narrow" w:hAnsi="Arial Narrow"/>
                <w:sz w:val="22"/>
                <w:szCs w:val="22"/>
              </w:rPr>
              <w:t>plniacich</w:t>
            </w:r>
            <w:r w:rsidRPr="00526A6A">
              <w:rPr>
                <w:rFonts w:ascii="Arial Narrow" w:hAnsi="Arial Narrow"/>
                <w:sz w:val="22"/>
                <w:szCs w:val="22"/>
              </w:rPr>
              <w:t xml:space="preserve"> cyklov, priemern</w:t>
            </w:r>
            <w:r w:rsidR="00721BD7">
              <w:rPr>
                <w:rFonts w:ascii="Arial Narrow" w:hAnsi="Arial Narrow"/>
                <w:sz w:val="22"/>
                <w:szCs w:val="22"/>
              </w:rPr>
              <w:t>ý objem vydaného vodíka na</w:t>
            </w:r>
            <w:r w:rsidRPr="00526A6A">
              <w:rPr>
                <w:rFonts w:ascii="Arial Narrow" w:hAnsi="Arial Narrow"/>
                <w:sz w:val="22"/>
                <w:szCs w:val="22"/>
              </w:rPr>
              <w:t xml:space="preserve"> jedno </w:t>
            </w:r>
            <w:r w:rsidR="00721BD7">
              <w:rPr>
                <w:rFonts w:ascii="Arial Narrow" w:hAnsi="Arial Narrow"/>
                <w:sz w:val="22"/>
                <w:szCs w:val="22"/>
              </w:rPr>
              <w:t>plnenie</w:t>
            </w:r>
            <w:r w:rsidRPr="00526A6A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721BD7">
              <w:rPr>
                <w:rFonts w:ascii="Arial Narrow" w:hAnsi="Arial Narrow"/>
                <w:sz w:val="22"/>
                <w:szCs w:val="22"/>
              </w:rPr>
              <w:t>a i. v zmysle vzoru monitorovacej správy, ktorý poskytne vykonávateľ.</w:t>
            </w:r>
          </w:p>
        </w:tc>
      </w:tr>
      <w:tr w:rsidR="00EB21CA" w:rsidRPr="00526A6A" w14:paraId="734CD564" w14:textId="77777777" w:rsidTr="00C91BE7">
        <w:trPr>
          <w:trHeight w:val="886"/>
        </w:trPr>
        <w:tc>
          <w:tcPr>
            <w:tcW w:w="1358" w:type="pct"/>
            <w:shd w:val="clear" w:color="auto" w:fill="BDD6EE" w:themeFill="accent1" w:themeFillTint="66"/>
          </w:tcPr>
          <w:p w14:paraId="4C3C7357" w14:textId="00C36E64" w:rsidR="00EB21CA" w:rsidRPr="00526A6A" w:rsidRDefault="00EB21CA" w:rsidP="00721BD7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t xml:space="preserve">Spôsoby platenia za </w:t>
            </w:r>
            <w:r w:rsidR="00721BD7">
              <w:rPr>
                <w:rFonts w:ascii="Arial Narrow" w:hAnsi="Arial Narrow"/>
                <w:b/>
                <w:sz w:val="22"/>
                <w:szCs w:val="22"/>
              </w:rPr>
              <w:t>plnenie vodíka</w:t>
            </w:r>
          </w:p>
        </w:tc>
        <w:tc>
          <w:tcPr>
            <w:tcW w:w="3642" w:type="pct"/>
          </w:tcPr>
          <w:p w14:paraId="4621A2A7" w14:textId="77777777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>Implementácia oboch štandardných platobných spôsobov:</w:t>
            </w:r>
          </w:p>
          <w:p w14:paraId="1369B68A" w14:textId="29C531BB" w:rsidR="00EB21CA" w:rsidRPr="00526A6A" w:rsidRDefault="00EB21CA" w:rsidP="00EB21C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tzv. ad-hoc platba - </w:t>
            </w:r>
            <w:r w:rsidR="00721BD7">
              <w:rPr>
                <w:rFonts w:ascii="Arial Narrow" w:hAnsi="Arial Narrow" w:cs="Arial"/>
              </w:rPr>
              <w:t>služba zakúpená</w:t>
            </w:r>
            <w:r w:rsidRPr="00526A6A">
              <w:rPr>
                <w:rFonts w:ascii="Arial Narrow" w:hAnsi="Arial Narrow" w:cs="Arial"/>
              </w:rPr>
              <w:t xml:space="preserve"> koncov</w:t>
            </w:r>
            <w:r w:rsidRPr="00526A6A">
              <w:rPr>
                <w:rFonts w:ascii="Arial Narrow" w:hAnsi="Arial Narrow" w:cs="Arial Narrow"/>
              </w:rPr>
              <w:t>ý</w:t>
            </w:r>
            <w:r w:rsidRPr="00526A6A">
              <w:rPr>
                <w:rFonts w:ascii="Arial Narrow" w:hAnsi="Arial Narrow" w:cs="Arial"/>
              </w:rPr>
              <w:t>m pou</w:t>
            </w:r>
            <w:r w:rsidRPr="00526A6A">
              <w:rPr>
                <w:rFonts w:ascii="Arial Narrow" w:hAnsi="Arial Narrow" w:cs="Arial Narrow"/>
              </w:rPr>
              <w:t>ží</w:t>
            </w:r>
            <w:r w:rsidRPr="00526A6A">
              <w:rPr>
                <w:rFonts w:ascii="Arial Narrow" w:hAnsi="Arial Narrow" w:cs="Arial"/>
              </w:rPr>
              <w:t>vate</w:t>
            </w:r>
            <w:r w:rsidRPr="00526A6A">
              <w:rPr>
                <w:rFonts w:ascii="Arial Narrow" w:hAnsi="Arial Narrow" w:cs="Arial Narrow"/>
              </w:rPr>
              <w:t>ľ</w:t>
            </w:r>
            <w:r w:rsidRPr="00526A6A">
              <w:rPr>
                <w:rFonts w:ascii="Arial Narrow" w:hAnsi="Arial Narrow" w:cs="Arial"/>
              </w:rPr>
              <w:t>om bez potreby jeho registr</w:t>
            </w:r>
            <w:r w:rsidRPr="00526A6A">
              <w:rPr>
                <w:rFonts w:ascii="Arial Narrow" w:hAnsi="Arial Narrow" w:cs="Arial Narrow"/>
              </w:rPr>
              <w:t>á</w:t>
            </w:r>
            <w:r w:rsidRPr="00526A6A">
              <w:rPr>
                <w:rFonts w:ascii="Arial Narrow" w:hAnsi="Arial Narrow" w:cs="Arial"/>
              </w:rPr>
              <w:t>cie, uzavretia p</w:t>
            </w:r>
            <w:r w:rsidRPr="00526A6A">
              <w:rPr>
                <w:rFonts w:ascii="Arial Narrow" w:hAnsi="Arial Narrow" w:cs="Arial Narrow"/>
              </w:rPr>
              <w:t>í</w:t>
            </w:r>
            <w:r w:rsidRPr="00526A6A">
              <w:rPr>
                <w:rFonts w:ascii="Arial Narrow" w:hAnsi="Arial Narrow" w:cs="Arial"/>
              </w:rPr>
              <w:t xml:space="preserve">somnej dohody alebo nadviazania </w:t>
            </w:r>
            <w:proofErr w:type="spellStart"/>
            <w:r w:rsidRPr="00526A6A">
              <w:rPr>
                <w:rFonts w:ascii="Arial Narrow" w:hAnsi="Arial Narrow" w:cs="Arial"/>
              </w:rPr>
              <w:t>dlhodobej</w:t>
            </w:r>
            <w:r w:rsidRPr="00526A6A">
              <w:rPr>
                <w:rFonts w:ascii="Arial Narrow" w:hAnsi="Arial Narrow" w:cs="Arial Narrow"/>
              </w:rPr>
              <w:t>š</w:t>
            </w:r>
            <w:r w:rsidRPr="00526A6A">
              <w:rPr>
                <w:rFonts w:ascii="Arial Narrow" w:hAnsi="Arial Narrow" w:cs="Arial"/>
              </w:rPr>
              <w:t>ieho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 obchodn</w:t>
            </w:r>
            <w:r w:rsidRPr="00526A6A">
              <w:rPr>
                <w:rFonts w:ascii="Arial Narrow" w:hAnsi="Arial Narrow" w:cs="Arial Narrow"/>
              </w:rPr>
              <w:t>é</w:t>
            </w:r>
            <w:r w:rsidRPr="00526A6A">
              <w:rPr>
                <w:rFonts w:ascii="Arial Narrow" w:hAnsi="Arial Narrow" w:cs="Arial"/>
              </w:rPr>
              <w:t>ho vz</w:t>
            </w:r>
            <w:r w:rsidRPr="00526A6A">
              <w:rPr>
                <w:rFonts w:ascii="Arial Narrow" w:hAnsi="Arial Narrow" w:cs="Arial Narrow"/>
              </w:rPr>
              <w:t>ť</w:t>
            </w:r>
            <w:r w:rsidRPr="00526A6A">
              <w:rPr>
                <w:rFonts w:ascii="Arial Narrow" w:hAnsi="Arial Narrow" w:cs="Arial"/>
              </w:rPr>
              <w:t>ahu s prev</w:t>
            </w:r>
            <w:r w:rsidRPr="00526A6A">
              <w:rPr>
                <w:rFonts w:ascii="Arial Narrow" w:hAnsi="Arial Narrow" w:cs="Arial Narrow"/>
              </w:rPr>
              <w:t>á</w:t>
            </w:r>
            <w:r w:rsidRPr="00526A6A">
              <w:rPr>
                <w:rFonts w:ascii="Arial Narrow" w:hAnsi="Arial Narrow" w:cs="Arial"/>
              </w:rPr>
              <w:t>dzkovate</w:t>
            </w:r>
            <w:r w:rsidRPr="00526A6A">
              <w:rPr>
                <w:rFonts w:ascii="Arial Narrow" w:hAnsi="Arial Narrow" w:cs="Arial Narrow"/>
              </w:rPr>
              <w:t>ľ</w:t>
            </w:r>
            <w:r w:rsidRPr="00526A6A">
              <w:rPr>
                <w:rFonts w:ascii="Arial Narrow" w:hAnsi="Arial Narrow" w:cs="Arial"/>
              </w:rPr>
              <w:t>om dan</w:t>
            </w:r>
            <w:r w:rsidR="00721BD7">
              <w:rPr>
                <w:rFonts w:ascii="Arial Narrow" w:hAnsi="Arial Narrow" w:cs="Arial"/>
              </w:rPr>
              <w:t>ej plniacej stanice</w:t>
            </w:r>
            <w:r w:rsidRPr="00526A6A">
              <w:rPr>
                <w:rFonts w:ascii="Arial Narrow" w:hAnsi="Arial Narrow" w:cs="Arial"/>
              </w:rPr>
              <w:t xml:space="preserve"> nad rámec samotného nákupu služby (nediskriminačný prístup),</w:t>
            </w:r>
          </w:p>
          <w:p w14:paraId="598C85C0" w14:textId="55CEFC1D" w:rsidR="00EB21CA" w:rsidRPr="00526A6A" w:rsidRDefault="00EB21CA" w:rsidP="00EB21C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zmluvná platba (tzv. </w:t>
            </w:r>
            <w:proofErr w:type="spellStart"/>
            <w:r w:rsidRPr="00526A6A">
              <w:rPr>
                <w:rFonts w:ascii="Arial Narrow" w:hAnsi="Arial Narrow" w:cs="Arial"/>
              </w:rPr>
              <w:t>membership</w:t>
            </w:r>
            <w:proofErr w:type="spellEnd"/>
            <w:r w:rsidRPr="00526A6A">
              <w:rPr>
                <w:rFonts w:ascii="Arial Narrow" w:hAnsi="Arial Narrow" w:cs="Arial"/>
              </w:rPr>
              <w:t xml:space="preserve"> platba) - na základe zmluvy medzi koncovým používateľom a poskytovateľom služieb mobility.</w:t>
            </w:r>
          </w:p>
          <w:p w14:paraId="7EF40ABC" w14:textId="62C2BF6D" w:rsidR="00EB21CA" w:rsidRPr="00526A6A" w:rsidRDefault="00EB21CA" w:rsidP="00721BD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6A6A">
              <w:rPr>
                <w:rFonts w:ascii="Arial Narrow" w:hAnsi="Arial Narrow"/>
                <w:sz w:val="22"/>
                <w:szCs w:val="22"/>
              </w:rPr>
              <w:t xml:space="preserve">Ak je </w:t>
            </w:r>
            <w:r w:rsidR="00721BD7">
              <w:rPr>
                <w:rFonts w:ascii="Arial Narrow" w:hAnsi="Arial Narrow"/>
                <w:sz w:val="22"/>
                <w:szCs w:val="22"/>
              </w:rPr>
              <w:t>plniaca stanica vybavená</w:t>
            </w:r>
            <w:r w:rsidRPr="00526A6A">
              <w:rPr>
                <w:rFonts w:ascii="Arial Narrow" w:hAnsi="Arial Narrow"/>
                <w:sz w:val="22"/>
                <w:szCs w:val="22"/>
              </w:rPr>
              <w:t xml:space="preserve"> platobným terminálom na kreditné </w:t>
            </w:r>
            <w:r w:rsidRPr="00526A6A">
              <w:rPr>
                <w:rFonts w:ascii="Arial Narrow" w:hAnsi="Arial Narrow"/>
                <w:sz w:val="22"/>
                <w:szCs w:val="22"/>
              </w:rPr>
              <w:br/>
              <w:t>a debetné platobné karty, považuje sa podmienka za splnenú.</w:t>
            </w:r>
          </w:p>
        </w:tc>
      </w:tr>
      <w:tr w:rsidR="00EB21CA" w:rsidRPr="00526A6A" w14:paraId="6CCA5477" w14:textId="77777777" w:rsidTr="00BF1F8B">
        <w:trPr>
          <w:trHeight w:val="271"/>
        </w:trPr>
        <w:tc>
          <w:tcPr>
            <w:tcW w:w="1358" w:type="pct"/>
            <w:shd w:val="clear" w:color="auto" w:fill="BDD6EE" w:themeFill="accent1" w:themeFillTint="66"/>
          </w:tcPr>
          <w:p w14:paraId="44681D43" w14:textId="69A54130" w:rsidR="00EB21CA" w:rsidRPr="00526A6A" w:rsidRDefault="00EB21CA" w:rsidP="00916E1B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sz w:val="22"/>
                <w:szCs w:val="22"/>
              </w:rPr>
              <w:lastRenderedPageBreak/>
              <w:t>Informácie o</w:t>
            </w:r>
            <w:r w:rsidR="00916E1B">
              <w:rPr>
                <w:rFonts w:ascii="Arial Narrow" w:hAnsi="Arial Narrow"/>
                <w:b/>
                <w:sz w:val="22"/>
                <w:szCs w:val="22"/>
              </w:rPr>
              <w:t> vodíkovej plnia</w:t>
            </w:r>
            <w:r w:rsidR="00721BD7">
              <w:rPr>
                <w:rFonts w:ascii="Arial Narrow" w:hAnsi="Arial Narrow"/>
                <w:b/>
                <w:sz w:val="22"/>
                <w:szCs w:val="22"/>
              </w:rPr>
              <w:t>cej infraštruktúre</w:t>
            </w:r>
          </w:p>
        </w:tc>
        <w:tc>
          <w:tcPr>
            <w:tcW w:w="3642" w:type="pct"/>
          </w:tcPr>
          <w:p w14:paraId="69376084" w14:textId="392AA4F8" w:rsidR="00EB21CA" w:rsidRPr="00526A6A" w:rsidRDefault="00EB21CA" w:rsidP="00EB21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Ihneď po spustení </w:t>
            </w:r>
            <w:r w:rsidR="00721BD7">
              <w:rPr>
                <w:rFonts w:ascii="Arial Narrow" w:hAnsi="Arial Narrow" w:cs="Arial"/>
              </w:rPr>
              <w:t xml:space="preserve">do prevádzky </w:t>
            </w:r>
            <w:r w:rsidRPr="00526A6A">
              <w:rPr>
                <w:rFonts w:ascii="Arial Narrow" w:hAnsi="Arial Narrow" w:cs="Arial"/>
              </w:rPr>
              <w:t>prijímateľ poskytne informácie o GPS súradniciach umiestnenia</w:t>
            </w:r>
            <w:r w:rsidR="00721BD7">
              <w:rPr>
                <w:rFonts w:ascii="Arial Narrow" w:hAnsi="Arial Narrow" w:cs="Arial"/>
              </w:rPr>
              <w:t xml:space="preserve"> </w:t>
            </w:r>
            <w:r w:rsidR="00276CA4">
              <w:rPr>
                <w:rFonts w:ascii="Arial Narrow" w:hAnsi="Arial Narrow" w:cs="Arial"/>
              </w:rPr>
              <w:t>plniacej</w:t>
            </w:r>
            <w:r w:rsidR="00721BD7">
              <w:rPr>
                <w:rFonts w:ascii="Arial Narrow" w:hAnsi="Arial Narrow" w:cs="Arial"/>
              </w:rPr>
              <w:t xml:space="preserve"> stanice</w:t>
            </w:r>
            <w:r w:rsidRPr="00526A6A">
              <w:rPr>
                <w:rFonts w:ascii="Arial Narrow" w:hAnsi="Arial Narrow" w:cs="Arial"/>
              </w:rPr>
              <w:t xml:space="preserve"> ako aj adresy, v rozsahu ako je formálne stanovená (ulica, číslo, mesto, PSČ), názov prevádzkovateľa </w:t>
            </w:r>
            <w:r w:rsidR="00276CA4">
              <w:rPr>
                <w:rFonts w:ascii="Arial Narrow" w:hAnsi="Arial Narrow" w:cs="Arial"/>
              </w:rPr>
              <w:t>stanice</w:t>
            </w:r>
            <w:r w:rsidRPr="00526A6A">
              <w:rPr>
                <w:rFonts w:ascii="Arial Narrow" w:hAnsi="Arial Narrow" w:cs="Arial"/>
              </w:rPr>
              <w:t xml:space="preserve">, ID </w:t>
            </w:r>
            <w:r w:rsidR="00276CA4">
              <w:rPr>
                <w:rFonts w:ascii="Arial Narrow" w:hAnsi="Arial Narrow" w:cs="Arial"/>
              </w:rPr>
              <w:t xml:space="preserve">plniacich </w:t>
            </w:r>
            <w:r w:rsidRPr="00526A6A">
              <w:rPr>
                <w:rFonts w:ascii="Arial Narrow" w:hAnsi="Arial Narrow" w:cs="Arial"/>
              </w:rPr>
              <w:t>bod</w:t>
            </w:r>
            <w:r w:rsidR="00276CA4">
              <w:rPr>
                <w:rFonts w:ascii="Arial Narrow" w:hAnsi="Arial Narrow" w:cs="Arial"/>
              </w:rPr>
              <w:t>ov,</w:t>
            </w:r>
            <w:r w:rsidRPr="00526A6A">
              <w:rPr>
                <w:rFonts w:ascii="Arial Narrow" w:hAnsi="Arial Narrow" w:cs="Arial"/>
              </w:rPr>
              <w:t xml:space="preserve"> spôsob autentifikácie a možnosti platby, kontaktný telefón na technickú podporu.</w:t>
            </w:r>
          </w:p>
          <w:p w14:paraId="0C7E853E" w14:textId="38515B5C" w:rsidR="00EB21CA" w:rsidRPr="00526A6A" w:rsidRDefault="00EB21CA" w:rsidP="00276C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</w:rPr>
            </w:pPr>
            <w:r w:rsidRPr="00526A6A">
              <w:rPr>
                <w:rFonts w:ascii="Arial Narrow" w:hAnsi="Arial Narrow" w:cs="Arial"/>
              </w:rPr>
              <w:t xml:space="preserve">Prevádzkovateľ verejnej </w:t>
            </w:r>
            <w:r w:rsidR="00276CA4">
              <w:rPr>
                <w:rFonts w:ascii="Arial Narrow" w:hAnsi="Arial Narrow" w:cs="Arial"/>
              </w:rPr>
              <w:t>plniacej</w:t>
            </w:r>
            <w:r w:rsidRPr="00526A6A">
              <w:rPr>
                <w:rFonts w:ascii="Arial Narrow" w:hAnsi="Arial Narrow" w:cs="Arial"/>
              </w:rPr>
              <w:t xml:space="preserve"> stanice je povinný synchronizovať a následne udržiavať aktuálne informácie o lokalitách, staniciach a ich konektoroch </w:t>
            </w:r>
            <w:r>
              <w:rPr>
                <w:rFonts w:ascii="Arial Narrow" w:hAnsi="Arial Narrow" w:cs="Arial"/>
              </w:rPr>
              <w:br/>
            </w:r>
            <w:r w:rsidR="00276CA4">
              <w:rPr>
                <w:rFonts w:ascii="Arial Narrow" w:hAnsi="Arial Narrow" w:cs="Arial"/>
              </w:rPr>
              <w:t xml:space="preserve">na verejnej mape pre infraštruktúru alternatívnych palív (napr. </w:t>
            </w:r>
            <w:hyperlink r:id="rId8" w:history="1">
              <w:r w:rsidR="00276CA4" w:rsidRPr="00CF044E">
                <w:rPr>
                  <w:rStyle w:val="Hypertextovprepojenie"/>
                  <w:rFonts w:ascii="Arial Narrow" w:hAnsi="Arial Narrow" w:cs="Arial"/>
                </w:rPr>
                <w:t>www.eafo.eu</w:t>
              </w:r>
            </w:hyperlink>
            <w:r w:rsidR="00276CA4">
              <w:rPr>
                <w:rFonts w:ascii="Arial Narrow" w:hAnsi="Arial Narrow" w:cs="Arial"/>
              </w:rPr>
              <w:t xml:space="preserve">) </w:t>
            </w:r>
            <w:r w:rsidRPr="00526A6A">
              <w:rPr>
                <w:rFonts w:ascii="Arial Narrow" w:hAnsi="Arial Narrow" w:cs="Arial"/>
              </w:rPr>
              <w:t>. Na synchronizáciu použije verejne dostupné API od prevádzkovateľa mapy, zabezpečené autentifikáciou použitím prihla</w:t>
            </w:r>
            <w:r>
              <w:rPr>
                <w:rFonts w:ascii="Arial Narrow" w:hAnsi="Arial Narrow" w:cs="Arial"/>
              </w:rPr>
              <w:t>sovacích údajov pridelených MH SR</w:t>
            </w:r>
            <w:r w:rsidRPr="00526A6A">
              <w:rPr>
                <w:rFonts w:ascii="Arial Narrow" w:hAnsi="Arial Narrow" w:cs="Arial"/>
              </w:rPr>
              <w:t xml:space="preserve">. V rámci informácií o lokalitách je povinný synchronizovať a aktualizovať ich otváracie hodiny v týždňových intervaloch spolu s cenníkom nabíjacích služieb pre všetky dostupné možnosti </w:t>
            </w:r>
            <w:r w:rsidR="00276CA4">
              <w:rPr>
                <w:rFonts w:ascii="Arial Narrow" w:hAnsi="Arial Narrow" w:cs="Arial"/>
              </w:rPr>
              <w:t>plnenia</w:t>
            </w:r>
            <w:r w:rsidRPr="00526A6A">
              <w:rPr>
                <w:rFonts w:ascii="Arial Narrow" w:hAnsi="Arial Narrow" w:cs="Arial"/>
              </w:rPr>
              <w:t xml:space="preserve">. Súčasťou informácií o konektoroch by mal byť ich aktuálny stav, typ konektora, </w:t>
            </w:r>
            <w:r w:rsidR="00276CA4">
              <w:rPr>
                <w:rFonts w:ascii="Arial Narrow" w:hAnsi="Arial Narrow" w:cs="Arial"/>
              </w:rPr>
              <w:t>plniaci tlak</w:t>
            </w:r>
            <w:r w:rsidRPr="00526A6A">
              <w:rPr>
                <w:rFonts w:ascii="Arial Narrow" w:hAnsi="Arial Narrow" w:cs="Arial"/>
              </w:rPr>
              <w:t xml:space="preserve"> a dostupné spôsoby </w:t>
            </w:r>
            <w:r w:rsidR="00276CA4">
              <w:rPr>
                <w:rFonts w:ascii="Arial Narrow" w:hAnsi="Arial Narrow" w:cs="Arial"/>
              </w:rPr>
              <w:t>plnenia</w:t>
            </w:r>
            <w:r w:rsidRPr="00526A6A">
              <w:rPr>
                <w:rFonts w:ascii="Arial Narrow" w:hAnsi="Arial Narrow" w:cs="Arial"/>
              </w:rPr>
              <w:t>, pričom tieto je prevádzkovateľ povinný aktualizovať okamžite, alebo najneskôr 10 minút po zmene ich stavu.</w:t>
            </w:r>
          </w:p>
        </w:tc>
      </w:tr>
      <w:tr w:rsidR="00EB21CA" w:rsidRPr="00526A6A" w14:paraId="096BA188" w14:textId="77777777" w:rsidTr="00BF1F8B">
        <w:trPr>
          <w:trHeight w:val="63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CF24C09" w14:textId="77777777" w:rsidR="00EB21CA" w:rsidRPr="00526A6A" w:rsidRDefault="00EB21CA" w:rsidP="00EB21CA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013C5F9" w14:textId="1575B5D7" w:rsidR="00EB21CA" w:rsidRPr="00526A6A" w:rsidRDefault="00EB21CA" w:rsidP="00EB21C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26A6A">
              <w:rPr>
                <w:rFonts w:ascii="Arial Narrow" w:hAnsi="Arial Narrow"/>
                <w:b/>
                <w:bCs/>
                <w:sz w:val="22"/>
                <w:szCs w:val="22"/>
              </w:rPr>
              <w:t>PROJEKTY, KTORÉ NESPĹŇAJÚ MINIMÁLNE TECHNICKÉ POŽIADAVKY, SÚ V RÁMCI VÝZVY NEOPRÁVNENÉ</w:t>
            </w:r>
            <w:r w:rsidRPr="00526A6A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119E8547" w14:textId="63A995E0" w:rsidR="00EB21CA" w:rsidRPr="00526A6A" w:rsidRDefault="00EB21CA" w:rsidP="00EB21CA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6E48E5A" w14:textId="1BF5E75A" w:rsidR="00D94380" w:rsidRPr="00526A6A" w:rsidRDefault="00D94380" w:rsidP="00012E42">
      <w:pPr>
        <w:rPr>
          <w:rFonts w:ascii="Arial Narrow" w:hAnsi="Arial Narrow" w:cs="Arial"/>
        </w:rPr>
      </w:pPr>
    </w:p>
    <w:sectPr w:rsidR="00D94380" w:rsidRPr="00526A6A" w:rsidSect="00333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538B" w16cex:dateUtc="2023-07-27T18:35:00Z"/>
  <w16cex:commentExtensible w16cex:durableId="286D53A1" w16cex:dateUtc="2023-07-27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D25363" w16cid:durableId="286D538B"/>
  <w16cid:commentId w16cid:paraId="3719C0BF" w16cid:durableId="286D53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C2A7A" w14:textId="77777777" w:rsidR="00326CAC" w:rsidRDefault="00326CAC" w:rsidP="00F47EDB">
      <w:pPr>
        <w:spacing w:after="0" w:line="240" w:lineRule="auto"/>
      </w:pPr>
      <w:r>
        <w:separator/>
      </w:r>
    </w:p>
  </w:endnote>
  <w:endnote w:type="continuationSeparator" w:id="0">
    <w:p w14:paraId="4F16D888" w14:textId="77777777" w:rsidR="00326CAC" w:rsidRDefault="00326CAC" w:rsidP="00F4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8139" w14:textId="77777777" w:rsidR="00A82A93" w:rsidRDefault="00A82A9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18E1" w14:textId="0815E7E0" w:rsidR="00A82A93" w:rsidRPr="00A82A93" w:rsidRDefault="00A82A93">
    <w:pPr>
      <w:pStyle w:val="Pta"/>
      <w:jc w:val="center"/>
      <w:rPr>
        <w:rFonts w:ascii="Arial Narrow" w:hAnsi="Arial Narrow"/>
        <w:sz w:val="18"/>
        <w:szCs w:val="18"/>
      </w:rPr>
    </w:pPr>
    <w:r w:rsidRPr="00A82A93">
      <w:rPr>
        <w:rFonts w:ascii="Arial Narrow" w:hAnsi="Arial Narrow"/>
        <w:sz w:val="18"/>
        <w:szCs w:val="18"/>
      </w:rPr>
      <w:t xml:space="preserve">Strana </w:t>
    </w:r>
    <w:r w:rsidRPr="00A82A93">
      <w:rPr>
        <w:rFonts w:ascii="Arial Narrow" w:hAnsi="Arial Narrow"/>
        <w:sz w:val="18"/>
        <w:szCs w:val="18"/>
      </w:rPr>
      <w:fldChar w:fldCharType="begin"/>
    </w:r>
    <w:r w:rsidRPr="00A82A93">
      <w:rPr>
        <w:rFonts w:ascii="Arial Narrow" w:hAnsi="Arial Narrow"/>
        <w:sz w:val="18"/>
        <w:szCs w:val="18"/>
      </w:rPr>
      <w:instrText>PAGE  \* Arabic  \* MERGEFORMAT</w:instrText>
    </w:r>
    <w:r w:rsidRPr="00A82A93">
      <w:rPr>
        <w:rFonts w:ascii="Arial Narrow" w:hAnsi="Arial Narrow"/>
        <w:sz w:val="18"/>
        <w:szCs w:val="18"/>
      </w:rPr>
      <w:fldChar w:fldCharType="separate"/>
    </w:r>
    <w:r w:rsidR="009F4E15">
      <w:rPr>
        <w:rFonts w:ascii="Arial Narrow" w:hAnsi="Arial Narrow"/>
        <w:noProof/>
        <w:sz w:val="18"/>
        <w:szCs w:val="18"/>
      </w:rPr>
      <w:t>2</w:t>
    </w:r>
    <w:r w:rsidRPr="00A82A93">
      <w:rPr>
        <w:rFonts w:ascii="Arial Narrow" w:hAnsi="Arial Narrow"/>
        <w:sz w:val="18"/>
        <w:szCs w:val="18"/>
      </w:rPr>
      <w:fldChar w:fldCharType="end"/>
    </w:r>
    <w:r w:rsidRPr="00A82A93">
      <w:rPr>
        <w:rFonts w:ascii="Arial Narrow" w:hAnsi="Arial Narrow"/>
        <w:sz w:val="18"/>
        <w:szCs w:val="18"/>
      </w:rPr>
      <w:t xml:space="preserve"> z </w:t>
    </w:r>
    <w:r w:rsidRPr="00A82A93">
      <w:rPr>
        <w:rFonts w:ascii="Arial Narrow" w:hAnsi="Arial Narrow"/>
        <w:sz w:val="18"/>
        <w:szCs w:val="18"/>
      </w:rPr>
      <w:fldChar w:fldCharType="begin"/>
    </w:r>
    <w:r w:rsidRPr="00A82A93">
      <w:rPr>
        <w:rFonts w:ascii="Arial Narrow" w:hAnsi="Arial Narrow"/>
        <w:sz w:val="18"/>
        <w:szCs w:val="18"/>
      </w:rPr>
      <w:instrText>NUMPAGES  \* Arabic  \* MERGEFORMAT</w:instrText>
    </w:r>
    <w:r w:rsidRPr="00A82A93">
      <w:rPr>
        <w:rFonts w:ascii="Arial Narrow" w:hAnsi="Arial Narrow"/>
        <w:sz w:val="18"/>
        <w:szCs w:val="18"/>
      </w:rPr>
      <w:fldChar w:fldCharType="separate"/>
    </w:r>
    <w:r w:rsidR="009F4E15">
      <w:rPr>
        <w:rFonts w:ascii="Arial Narrow" w:hAnsi="Arial Narrow"/>
        <w:noProof/>
        <w:sz w:val="18"/>
        <w:szCs w:val="18"/>
      </w:rPr>
      <w:t>2</w:t>
    </w:r>
    <w:r w:rsidRPr="00A82A93">
      <w:rPr>
        <w:rFonts w:ascii="Arial Narrow" w:hAnsi="Arial Narrow"/>
        <w:sz w:val="18"/>
        <w:szCs w:val="18"/>
      </w:rPr>
      <w:fldChar w:fldCharType="end"/>
    </w:r>
  </w:p>
  <w:p w14:paraId="53D80AB3" w14:textId="77777777" w:rsidR="00F15463" w:rsidRDefault="00F1546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B6BE" w14:textId="77777777" w:rsidR="00A82A93" w:rsidRDefault="00A82A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07CC" w14:textId="77777777" w:rsidR="00326CAC" w:rsidRDefault="00326CAC" w:rsidP="00F47EDB">
      <w:pPr>
        <w:spacing w:after="0" w:line="240" w:lineRule="auto"/>
      </w:pPr>
      <w:r>
        <w:separator/>
      </w:r>
    </w:p>
  </w:footnote>
  <w:footnote w:type="continuationSeparator" w:id="0">
    <w:p w14:paraId="5BCE6E7F" w14:textId="77777777" w:rsidR="00326CAC" w:rsidRDefault="00326CAC" w:rsidP="00F47EDB">
      <w:pPr>
        <w:spacing w:after="0" w:line="240" w:lineRule="auto"/>
      </w:pPr>
      <w:r>
        <w:continuationSeparator/>
      </w:r>
    </w:p>
  </w:footnote>
  <w:footnote w:id="1">
    <w:p w14:paraId="07856FD2" w14:textId="77777777" w:rsidR="00932220" w:rsidRPr="00635D9B" w:rsidRDefault="00932220" w:rsidP="00932220">
      <w:pPr>
        <w:pStyle w:val="Textpoznmkypodiarou"/>
        <w:rPr>
          <w:rFonts w:ascii="Arial Narrow" w:hAnsi="Arial Narrow"/>
          <w:sz w:val="18"/>
        </w:rPr>
      </w:pPr>
      <w:r w:rsidRPr="00635D9B">
        <w:rPr>
          <w:rStyle w:val="Odkaznapoznmkupodiarou"/>
          <w:rFonts w:ascii="Arial Narrow" w:hAnsi="Arial Narrow"/>
          <w:sz w:val="18"/>
        </w:rPr>
        <w:footnoteRef/>
      </w:r>
      <w:r w:rsidRPr="00635D9B">
        <w:rPr>
          <w:rFonts w:ascii="Arial Narrow" w:hAnsi="Arial Narrow"/>
          <w:sz w:val="18"/>
        </w:rPr>
        <w:t xml:space="preserve"> Podľa aktuálnej podoby návrhu revízie Nariadenia Európskeho Parlamentu a Rady o usmerneniach Únie pre rozvoj </w:t>
      </w:r>
      <w:proofErr w:type="spellStart"/>
      <w:r w:rsidRPr="00635D9B">
        <w:rPr>
          <w:rFonts w:ascii="Arial Narrow" w:hAnsi="Arial Narrow"/>
          <w:sz w:val="18"/>
        </w:rPr>
        <w:t>transeurópskej</w:t>
      </w:r>
      <w:proofErr w:type="spellEnd"/>
      <w:r w:rsidRPr="00635D9B">
        <w:rPr>
          <w:rFonts w:ascii="Arial Narrow" w:hAnsi="Arial Narrow"/>
          <w:sz w:val="18"/>
        </w:rPr>
        <w:t xml:space="preserve"> dopravnej siete, ktorým sa mení nariadenie (EÚ) 2021/1153 a nariadenie (EÚ) č. 913/2010 a zrušuje nariadenie (EÚ) č. 1315/2013 patria do zoznamu mestských uzlov na území Slovenskej republiky tieto mestá: Bratislava, Nitra, Žilina, Košice</w:t>
      </w:r>
    </w:p>
  </w:footnote>
  <w:footnote w:id="2">
    <w:p w14:paraId="251F8775" w14:textId="77777777" w:rsidR="00932220" w:rsidRDefault="00932220" w:rsidP="00932220">
      <w:pPr>
        <w:pStyle w:val="Textpoznmkypodiarou"/>
      </w:pPr>
      <w:r w:rsidRPr="00635D9B">
        <w:rPr>
          <w:rStyle w:val="Odkaznapoznmkupodiarou"/>
          <w:rFonts w:ascii="Arial Narrow" w:hAnsi="Arial Narrow"/>
          <w:sz w:val="18"/>
        </w:rPr>
        <w:footnoteRef/>
      </w:r>
      <w:r w:rsidRPr="00635D9B">
        <w:rPr>
          <w:rFonts w:ascii="Arial Narrow" w:hAnsi="Arial Narrow"/>
          <w:sz w:val="18"/>
        </w:rPr>
        <w:t xml:space="preserve"> Stanica vzdialená nie viac ako 10 km od najbližšieho zjazdu z pozemnej komunikácie patriacej do hlavnej siete TEN-T (pozri články 2 a 6 nariadenia AFIR)</w:t>
      </w:r>
    </w:p>
  </w:footnote>
  <w:footnote w:id="3">
    <w:p w14:paraId="30CBB0D7" w14:textId="77777777" w:rsidR="00276CA4" w:rsidRDefault="00276CA4" w:rsidP="00276CA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721BD7">
        <w:rPr>
          <w:rFonts w:ascii="Arial Narrow" w:hAnsi="Arial Narrow"/>
          <w:sz w:val="18"/>
        </w:rPr>
        <w:t>V zmysle Článku 6, odseku 4 tohto Nariadenia</w:t>
      </w:r>
      <w:r>
        <w:rPr>
          <w:rFonts w:ascii="Arial Narrow" w:hAnsi="Arial Narrow"/>
          <w:sz w:val="18"/>
        </w:rPr>
        <w:t xml:space="preserve">, pri uplatnení výnimky, v opačnom prípade musí byť denná kapacita 1 000 kg/deň. </w:t>
      </w:r>
    </w:p>
  </w:footnote>
  <w:footnote w:id="4">
    <w:p w14:paraId="1B180745" w14:textId="5E853EF8" w:rsidR="00721BD7" w:rsidRPr="00276CA4" w:rsidRDefault="00721BD7">
      <w:pPr>
        <w:pStyle w:val="Textpoznmkypodiarou"/>
        <w:rPr>
          <w:rFonts w:ascii="Arial Narrow" w:hAnsi="Arial Narrow"/>
        </w:rPr>
      </w:pPr>
      <w:r w:rsidRPr="00276CA4">
        <w:rPr>
          <w:rStyle w:val="Odkaznapoznmkupodiarou"/>
          <w:rFonts w:ascii="Arial Narrow" w:hAnsi="Arial Narrow"/>
        </w:rPr>
        <w:footnoteRef/>
      </w:r>
      <w:r w:rsidRPr="00276CA4">
        <w:rPr>
          <w:rFonts w:ascii="Arial Narrow" w:hAnsi="Arial Narrow"/>
        </w:rPr>
        <w:t xml:space="preserve"> V zmysle </w:t>
      </w:r>
      <w:r w:rsidR="00276CA4" w:rsidRPr="00276CA4">
        <w:rPr>
          <w:rFonts w:ascii="Arial Narrow" w:hAnsi="Arial Narrow"/>
        </w:rPr>
        <w:t>č</w:t>
      </w:r>
      <w:r w:rsidRPr="00276CA4">
        <w:rPr>
          <w:rFonts w:ascii="Arial Narrow" w:hAnsi="Arial Narrow"/>
        </w:rPr>
        <w:t>lánku 20 Nariadenia AFIR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3CA7" w14:textId="77777777" w:rsidR="00A82A93" w:rsidRDefault="00A82A9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F15463" w14:paraId="3DC7E51F" w14:textId="77777777" w:rsidTr="00333FC0">
      <w:tc>
        <w:tcPr>
          <w:tcW w:w="6199" w:type="dxa"/>
          <w:vAlign w:val="center"/>
        </w:tcPr>
        <w:p w14:paraId="2043CC94" w14:textId="77777777" w:rsidR="00F15463" w:rsidRDefault="00F15463" w:rsidP="00CD6F9F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2392A3D4" wp14:editId="4BA3C046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640C0FD2" w14:textId="77777777" w:rsidR="00F15463" w:rsidRDefault="00F15463" w:rsidP="00CD6F9F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64142979" wp14:editId="7488044F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ADBD70" w14:textId="77777777" w:rsidR="00F15463" w:rsidRDefault="00F15463" w:rsidP="00CD6F9F">
    <w:pPr>
      <w:pStyle w:val="Hlavika"/>
      <w:jc w:val="right"/>
    </w:pPr>
    <w:r w:rsidRPr="0010242C">
      <w:t xml:space="preserve"> </w:t>
    </w:r>
  </w:p>
  <w:p w14:paraId="7C495018" w14:textId="560AA126" w:rsidR="00F15463" w:rsidRPr="00643768" w:rsidRDefault="00F15463" w:rsidP="00CD6F9F">
    <w:pPr>
      <w:pStyle w:val="Hlavika"/>
      <w:jc w:val="right"/>
      <w:rPr>
        <w:rFonts w:ascii="Arial" w:hAnsi="Arial" w:cs="Arial"/>
      </w:rPr>
    </w:pPr>
    <w:r w:rsidRPr="00643768">
      <w:rPr>
        <w:rFonts w:ascii="Arial" w:hAnsi="Arial" w:cs="Arial"/>
        <w:sz w:val="18"/>
      </w:rPr>
      <w:t xml:space="preserve">Príloha č. 3 výzvy - </w:t>
    </w:r>
    <w:r w:rsidR="000F10F6">
      <w:rPr>
        <w:rFonts w:ascii="Arial" w:hAnsi="Arial" w:cs="Arial"/>
        <w:i/>
        <w:sz w:val="18"/>
      </w:rPr>
      <w:t>T</w:t>
    </w:r>
    <w:r w:rsidRPr="00643768">
      <w:rPr>
        <w:rFonts w:ascii="Arial" w:hAnsi="Arial" w:cs="Arial"/>
        <w:i/>
        <w:sz w:val="18"/>
      </w:rPr>
      <w:t>echnicko-stavebné požiadavky</w:t>
    </w:r>
    <w:r w:rsidRPr="00643768">
      <w:rPr>
        <w:rFonts w:ascii="Arial" w:hAnsi="Arial" w:cs="Arial"/>
        <w:i/>
        <w:noProof/>
        <w:lang w:eastAsia="sk-SK"/>
      </w:rPr>
      <w:t xml:space="preserve"> </w:t>
    </w:r>
  </w:p>
  <w:p w14:paraId="764B4360" w14:textId="77777777" w:rsidR="00F15463" w:rsidRDefault="00F1546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1BC4" w14:textId="77777777" w:rsidR="00A82A93" w:rsidRDefault="00A82A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E7B"/>
    <w:multiLevelType w:val="multilevel"/>
    <w:tmpl w:val="4E4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B41FF"/>
    <w:multiLevelType w:val="hybridMultilevel"/>
    <w:tmpl w:val="0D085E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A7314"/>
    <w:multiLevelType w:val="hybridMultilevel"/>
    <w:tmpl w:val="30C685EC"/>
    <w:lvl w:ilvl="0" w:tplc="C2A01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87"/>
    <w:rsid w:val="00001DAB"/>
    <w:rsid w:val="00007F58"/>
    <w:rsid w:val="00012E42"/>
    <w:rsid w:val="00047C27"/>
    <w:rsid w:val="00067A3C"/>
    <w:rsid w:val="0009644D"/>
    <w:rsid w:val="000F10F6"/>
    <w:rsid w:val="00100144"/>
    <w:rsid w:val="001078A8"/>
    <w:rsid w:val="001148DF"/>
    <w:rsid w:val="001E5D4F"/>
    <w:rsid w:val="002019DE"/>
    <w:rsid w:val="00264E1F"/>
    <w:rsid w:val="002651F1"/>
    <w:rsid w:val="00272044"/>
    <w:rsid w:val="00276CA4"/>
    <w:rsid w:val="00294D48"/>
    <w:rsid w:val="00295766"/>
    <w:rsid w:val="002C02F3"/>
    <w:rsid w:val="00326CAC"/>
    <w:rsid w:val="003313FB"/>
    <w:rsid w:val="00333FC0"/>
    <w:rsid w:val="00340E34"/>
    <w:rsid w:val="00342683"/>
    <w:rsid w:val="003D7020"/>
    <w:rsid w:val="003E263C"/>
    <w:rsid w:val="004078DA"/>
    <w:rsid w:val="004229DC"/>
    <w:rsid w:val="00426930"/>
    <w:rsid w:val="0043586D"/>
    <w:rsid w:val="00457B48"/>
    <w:rsid w:val="004A244B"/>
    <w:rsid w:val="004A3919"/>
    <w:rsid w:val="004A4A54"/>
    <w:rsid w:val="005140A0"/>
    <w:rsid w:val="00524964"/>
    <w:rsid w:val="00526A6A"/>
    <w:rsid w:val="00531593"/>
    <w:rsid w:val="00534245"/>
    <w:rsid w:val="00534AED"/>
    <w:rsid w:val="0053789D"/>
    <w:rsid w:val="00567D73"/>
    <w:rsid w:val="00596579"/>
    <w:rsid w:val="005C4B67"/>
    <w:rsid w:val="00600458"/>
    <w:rsid w:val="0061328C"/>
    <w:rsid w:val="00640267"/>
    <w:rsid w:val="00643768"/>
    <w:rsid w:val="006576E2"/>
    <w:rsid w:val="00662619"/>
    <w:rsid w:val="00662B44"/>
    <w:rsid w:val="00677143"/>
    <w:rsid w:val="006A71E0"/>
    <w:rsid w:val="00706C84"/>
    <w:rsid w:val="00721BD7"/>
    <w:rsid w:val="00722D29"/>
    <w:rsid w:val="007411CA"/>
    <w:rsid w:val="00765C46"/>
    <w:rsid w:val="007711CD"/>
    <w:rsid w:val="00786E45"/>
    <w:rsid w:val="007C1795"/>
    <w:rsid w:val="007D60C8"/>
    <w:rsid w:val="00844838"/>
    <w:rsid w:val="0086535F"/>
    <w:rsid w:val="00873CA6"/>
    <w:rsid w:val="00883A7F"/>
    <w:rsid w:val="008E36A8"/>
    <w:rsid w:val="008F42C5"/>
    <w:rsid w:val="00916E1B"/>
    <w:rsid w:val="00932220"/>
    <w:rsid w:val="00936EBF"/>
    <w:rsid w:val="00943C56"/>
    <w:rsid w:val="00951FBC"/>
    <w:rsid w:val="0097299E"/>
    <w:rsid w:val="009A6FC8"/>
    <w:rsid w:val="009B7A9D"/>
    <w:rsid w:val="009D036C"/>
    <w:rsid w:val="009F16A8"/>
    <w:rsid w:val="009F4E15"/>
    <w:rsid w:val="00A74D12"/>
    <w:rsid w:val="00A82A93"/>
    <w:rsid w:val="00A86DE4"/>
    <w:rsid w:val="00A938DF"/>
    <w:rsid w:val="00AA0AF5"/>
    <w:rsid w:val="00B11B8B"/>
    <w:rsid w:val="00B609A1"/>
    <w:rsid w:val="00B72C01"/>
    <w:rsid w:val="00BA15E4"/>
    <w:rsid w:val="00BA2D64"/>
    <w:rsid w:val="00BB06AC"/>
    <w:rsid w:val="00BB2BE3"/>
    <w:rsid w:val="00BC4956"/>
    <w:rsid w:val="00BF1F8B"/>
    <w:rsid w:val="00C023B9"/>
    <w:rsid w:val="00C21D18"/>
    <w:rsid w:val="00C47827"/>
    <w:rsid w:val="00C545F8"/>
    <w:rsid w:val="00C77BF7"/>
    <w:rsid w:val="00C91BE7"/>
    <w:rsid w:val="00CD6F9F"/>
    <w:rsid w:val="00D30334"/>
    <w:rsid w:val="00D53DAE"/>
    <w:rsid w:val="00D6152C"/>
    <w:rsid w:val="00D87E1F"/>
    <w:rsid w:val="00D94380"/>
    <w:rsid w:val="00DD1BFF"/>
    <w:rsid w:val="00E34577"/>
    <w:rsid w:val="00E51ECC"/>
    <w:rsid w:val="00E874B3"/>
    <w:rsid w:val="00EB21CA"/>
    <w:rsid w:val="00F00092"/>
    <w:rsid w:val="00F06A6C"/>
    <w:rsid w:val="00F06A6D"/>
    <w:rsid w:val="00F0744C"/>
    <w:rsid w:val="00F15463"/>
    <w:rsid w:val="00F47EDB"/>
    <w:rsid w:val="00F50164"/>
    <w:rsid w:val="00F51580"/>
    <w:rsid w:val="00F53181"/>
    <w:rsid w:val="00F6134E"/>
    <w:rsid w:val="00F76254"/>
    <w:rsid w:val="00FA3FF9"/>
    <w:rsid w:val="00FA4C87"/>
    <w:rsid w:val="00FB686D"/>
    <w:rsid w:val="00FB769A"/>
    <w:rsid w:val="00FF6923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971A9"/>
  <w15:chartTrackingRefBased/>
  <w15:docId w15:val="{7AFCE372-7ABD-464C-8F57-05C70720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ED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F4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47EDB"/>
    <w:pPr>
      <w:ind w:left="720"/>
      <w:contextualSpacing/>
    </w:pPr>
  </w:style>
  <w:style w:type="paragraph" w:customStyle="1" w:styleId="Default">
    <w:name w:val="Default"/>
    <w:rsid w:val="00F47E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F47EDB"/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F47ED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qFormat/>
    <w:rsid w:val="00F47EDB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F47EDB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F47EDB"/>
    <w:pPr>
      <w:spacing w:after="160" w:line="240" w:lineRule="exact"/>
    </w:pPr>
    <w:rPr>
      <w:vertAlign w:val="superscript"/>
    </w:rPr>
  </w:style>
  <w:style w:type="paragraph" w:styleId="Revzia">
    <w:name w:val="Revision"/>
    <w:hidden/>
    <w:uiPriority w:val="99"/>
    <w:semiHidden/>
    <w:rsid w:val="00AA0AF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C49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49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49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49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49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BE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9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1BE7"/>
  </w:style>
  <w:style w:type="paragraph" w:styleId="Pta">
    <w:name w:val="footer"/>
    <w:basedOn w:val="Normlny"/>
    <w:link w:val="PtaChar"/>
    <w:uiPriority w:val="99"/>
    <w:unhideWhenUsed/>
    <w:rsid w:val="00C9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1BE7"/>
  </w:style>
  <w:style w:type="character" w:styleId="Hypertextovprepojenie">
    <w:name w:val="Hyperlink"/>
    <w:basedOn w:val="Predvolenpsmoodseku"/>
    <w:uiPriority w:val="99"/>
    <w:unhideWhenUsed/>
    <w:rsid w:val="00276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fo.eu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A659-0BEB-4EB2-A270-038702BF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Adrian</dc:creator>
  <cp:keywords/>
  <dc:description/>
  <cp:lastModifiedBy>Martincova Miroslava</cp:lastModifiedBy>
  <cp:revision>13</cp:revision>
  <cp:lastPrinted>2024-06-27T14:18:00Z</cp:lastPrinted>
  <dcterms:created xsi:type="dcterms:W3CDTF">2023-07-28T09:50:00Z</dcterms:created>
  <dcterms:modified xsi:type="dcterms:W3CDTF">2024-06-27T14:18:00Z</dcterms:modified>
</cp:coreProperties>
</file>