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65F04" w14:textId="77777777" w:rsidR="002F00B6" w:rsidRPr="00C5009E" w:rsidRDefault="002F00B6" w:rsidP="002F00B6">
      <w:pPr>
        <w:pStyle w:val="zcompanyname"/>
        <w:tabs>
          <w:tab w:val="left" w:pos="1315"/>
        </w:tabs>
        <w:jc w:val="both"/>
        <w:rPr>
          <w:noProof w:val="0"/>
        </w:rPr>
      </w:pPr>
      <w:r w:rsidRPr="00C5009E">
        <w:rPr>
          <w:noProof w:val="0"/>
        </w:rPr>
        <w:tab/>
      </w:r>
    </w:p>
    <w:p w14:paraId="4DF7FF95" w14:textId="77777777" w:rsidR="002F00B6" w:rsidRPr="008C658B" w:rsidRDefault="002F00B6" w:rsidP="002F00B6">
      <w:pPr>
        <w:spacing w:before="11"/>
        <w:rPr>
          <w:rFonts w:eastAsia="Arial" w:cs="Arial"/>
          <w:b/>
          <w:bCs/>
          <w:sz w:val="36"/>
          <w:szCs w:val="36"/>
        </w:rPr>
      </w:pPr>
    </w:p>
    <w:p w14:paraId="3E14DCE2" w14:textId="77777777" w:rsidR="002F00B6" w:rsidRPr="008C658B" w:rsidRDefault="002F00B6" w:rsidP="002F00B6">
      <w:pPr>
        <w:rPr>
          <w:szCs w:val="20"/>
        </w:rPr>
      </w:pPr>
    </w:p>
    <w:p w14:paraId="416A9734" w14:textId="77777777" w:rsidR="002F00B6" w:rsidRPr="008C658B" w:rsidRDefault="002F00B6" w:rsidP="002F00B6">
      <w:pPr>
        <w:rPr>
          <w:szCs w:val="20"/>
        </w:rPr>
      </w:pPr>
    </w:p>
    <w:p w14:paraId="30DE4086" w14:textId="77777777" w:rsidR="002F00B6" w:rsidRPr="008C658B" w:rsidRDefault="002F00B6" w:rsidP="002F00B6">
      <w:pPr>
        <w:spacing w:before="29"/>
        <w:rPr>
          <w:rFonts w:eastAsia="Arial" w:cs="Arial"/>
          <w:b/>
          <w:bCs/>
          <w:spacing w:val="-1"/>
          <w:szCs w:val="20"/>
        </w:rPr>
      </w:pPr>
    </w:p>
    <w:p w14:paraId="595E2A3F" w14:textId="77777777" w:rsidR="002F00B6" w:rsidRPr="00615074" w:rsidRDefault="002F00B6" w:rsidP="002F00B6">
      <w:pPr>
        <w:spacing w:before="17"/>
        <w:jc w:val="center"/>
        <w:rPr>
          <w:color w:val="0070C0"/>
          <w:szCs w:val="20"/>
          <w:highlight w:val="yellow"/>
        </w:rPr>
      </w:pPr>
    </w:p>
    <w:tbl>
      <w:tblPr>
        <w:tblpPr w:leftFromText="187" w:rightFromText="187" w:vertAnchor="page" w:horzAnchor="page" w:tblpX="2516" w:tblpY="4793"/>
        <w:tblW w:w="6923" w:type="dxa"/>
        <w:tblBorders>
          <w:left w:val="single" w:sz="18" w:space="0" w:color="808080"/>
        </w:tblBorders>
        <w:tblLayout w:type="fixed"/>
        <w:tblLook w:val="04A0" w:firstRow="1" w:lastRow="0" w:firstColumn="1" w:lastColumn="0" w:noHBand="0" w:noVBand="1"/>
      </w:tblPr>
      <w:tblGrid>
        <w:gridCol w:w="6923"/>
      </w:tblGrid>
      <w:tr w:rsidR="002F00B6" w:rsidRPr="008C658B" w14:paraId="255D3B21" w14:textId="77777777" w:rsidTr="002F00B6">
        <w:trPr>
          <w:trHeight w:val="4402"/>
        </w:trPr>
        <w:tc>
          <w:tcPr>
            <w:tcW w:w="6923" w:type="dxa"/>
          </w:tcPr>
          <w:p w14:paraId="68A8745B" w14:textId="77777777" w:rsidR="002F00B6" w:rsidRPr="00C5009E" w:rsidRDefault="002F00B6" w:rsidP="002F00B6">
            <w:pPr>
              <w:pStyle w:val="Bezriadkovania"/>
              <w:rPr>
                <w:rFonts w:ascii="Arial Narrow" w:hAnsi="Arial Narrow" w:cs="Arial"/>
                <w:b/>
                <w:color w:val="C00000"/>
                <w:sz w:val="38"/>
                <w:szCs w:val="38"/>
              </w:rPr>
            </w:pPr>
          </w:p>
          <w:p w14:paraId="2184B4AE" w14:textId="1574DCA7" w:rsidR="002F00B6" w:rsidRPr="00C5009E" w:rsidRDefault="002F00B6" w:rsidP="002F00B6">
            <w:pPr>
              <w:pStyle w:val="Bezriadkovania"/>
              <w:rPr>
                <w:rFonts w:ascii="Century Gothic" w:hAnsi="Century Gothic" w:cs="Arial"/>
                <w:b/>
                <w:caps/>
                <w:color w:val="006EB6"/>
                <w:sz w:val="40"/>
                <w:szCs w:val="38"/>
              </w:rPr>
            </w:pPr>
            <w:r>
              <w:rPr>
                <w:rFonts w:ascii="Century Gothic" w:hAnsi="Century Gothic" w:cs="Arial"/>
                <w:b/>
                <w:caps/>
                <w:color w:val="006EB6"/>
                <w:sz w:val="40"/>
                <w:szCs w:val="38"/>
              </w:rPr>
              <w:t xml:space="preserve">Metodika </w:t>
            </w:r>
            <w:r w:rsidR="00C67192">
              <w:rPr>
                <w:rFonts w:ascii="Century Gothic" w:hAnsi="Century Gothic" w:cs="Arial"/>
                <w:b/>
                <w:caps/>
                <w:color w:val="006EB6"/>
                <w:sz w:val="40"/>
                <w:szCs w:val="38"/>
              </w:rPr>
              <w:t xml:space="preserve">posudzovania </w:t>
            </w:r>
            <w:r>
              <w:rPr>
                <w:rFonts w:ascii="Century Gothic" w:hAnsi="Century Gothic" w:cs="Arial"/>
                <w:b/>
                <w:caps/>
                <w:color w:val="006EB6"/>
                <w:sz w:val="40"/>
                <w:szCs w:val="38"/>
              </w:rPr>
              <w:t xml:space="preserve"> podniku v ťažkostiach pre subjekty mimo schém pomoci </w:t>
            </w:r>
          </w:p>
          <w:p w14:paraId="7B144715" w14:textId="77777777" w:rsidR="002F00B6" w:rsidRPr="00C5009E" w:rsidRDefault="002F00B6" w:rsidP="002F00B6">
            <w:pPr>
              <w:pStyle w:val="Bezriadkovania"/>
              <w:rPr>
                <w:rFonts w:ascii="Arial Narrow" w:hAnsi="Arial Narrow" w:cs="Arial"/>
                <w:b/>
                <w:sz w:val="28"/>
                <w:szCs w:val="38"/>
              </w:rPr>
            </w:pPr>
          </w:p>
          <w:p w14:paraId="53F7E298" w14:textId="77777777" w:rsidR="002F00B6" w:rsidRPr="00C5009E" w:rsidRDefault="002F00B6" w:rsidP="002F00B6">
            <w:pPr>
              <w:pStyle w:val="Bezriadkovania"/>
              <w:rPr>
                <w:rFonts w:ascii="Century Gothic" w:hAnsi="Century Gothic" w:cs="Arial"/>
                <w:b/>
                <w:caps/>
                <w:color w:val="0070C0"/>
                <w:sz w:val="38"/>
                <w:szCs w:val="38"/>
              </w:rPr>
            </w:pPr>
            <w:r w:rsidRPr="00C5009E">
              <w:rPr>
                <w:rFonts w:ascii="Century Gothic" w:hAnsi="Century Gothic" w:cs="Arial"/>
                <w:b/>
                <w:color w:val="0070C0"/>
                <w:sz w:val="28"/>
                <w:szCs w:val="38"/>
              </w:rPr>
              <w:t>v</w:t>
            </w:r>
            <w:r w:rsidRPr="00C5009E">
              <w:rPr>
                <w:rFonts w:ascii="Century Gothic" w:hAnsi="Century Gothic" w:cs="Arial"/>
                <w:b/>
                <w:caps/>
                <w:color w:val="0070C0"/>
                <w:sz w:val="28"/>
                <w:szCs w:val="38"/>
              </w:rPr>
              <w:t> </w:t>
            </w:r>
            <w:r w:rsidRPr="00C5009E">
              <w:rPr>
                <w:rFonts w:ascii="Century Gothic" w:hAnsi="Century Gothic" w:cs="Arial"/>
                <w:b/>
                <w:color w:val="0070C0"/>
                <w:sz w:val="28"/>
                <w:szCs w:val="38"/>
              </w:rPr>
              <w:t>gescii Ministerstva hospodárstva Slovenskej republiky</w:t>
            </w:r>
          </w:p>
          <w:p w14:paraId="67BCC5B2" w14:textId="77777777" w:rsidR="002F00B6" w:rsidRPr="00C5009E" w:rsidRDefault="002F00B6" w:rsidP="002F00B6">
            <w:pPr>
              <w:pStyle w:val="Bezriadkovania"/>
              <w:rPr>
                <w:rFonts w:ascii="Arial Narrow" w:hAnsi="Arial Narrow" w:cs="Arial"/>
                <w:b/>
                <w:caps/>
                <w:color w:val="C00000"/>
                <w:sz w:val="38"/>
                <w:szCs w:val="38"/>
              </w:rPr>
            </w:pPr>
          </w:p>
          <w:p w14:paraId="4FF92DC2" w14:textId="77777777" w:rsidR="002F00B6" w:rsidRPr="00C5009E" w:rsidRDefault="002F00B6" w:rsidP="002F00B6">
            <w:pPr>
              <w:pStyle w:val="Bezriadkovania"/>
              <w:rPr>
                <w:rFonts w:cs="Arial"/>
                <w:color w:val="833C0B" w:themeColor="accent2" w:themeShade="80"/>
                <w:sz w:val="40"/>
                <w:szCs w:val="40"/>
              </w:rPr>
            </w:pPr>
          </w:p>
        </w:tc>
      </w:tr>
    </w:tbl>
    <w:p w14:paraId="0C879D5D" w14:textId="77777777" w:rsidR="002F00B6" w:rsidRDefault="002F00B6" w:rsidP="002F00B6">
      <w:pPr>
        <w:tabs>
          <w:tab w:val="left" w:pos="1930"/>
          <w:tab w:val="center" w:pos="5050"/>
        </w:tabs>
        <w:rPr>
          <w:rFonts w:eastAsia="Arial" w:cs="Arial"/>
          <w:color w:val="0070C0"/>
          <w:spacing w:val="1"/>
          <w:szCs w:val="20"/>
        </w:rPr>
      </w:pPr>
      <w:r>
        <w:rPr>
          <w:rFonts w:eastAsia="Arial" w:cs="Arial"/>
          <w:color w:val="0070C0"/>
          <w:spacing w:val="1"/>
          <w:szCs w:val="20"/>
        </w:rPr>
        <w:tab/>
      </w:r>
      <w:r>
        <w:rPr>
          <w:rFonts w:eastAsia="Arial" w:cs="Arial"/>
          <w:color w:val="0070C0"/>
          <w:spacing w:val="1"/>
          <w:szCs w:val="20"/>
        </w:rPr>
        <w:tab/>
      </w:r>
    </w:p>
    <w:p w14:paraId="49ACB088" w14:textId="77777777" w:rsidR="002F00B6" w:rsidRDefault="002F00B6" w:rsidP="002F00B6">
      <w:pPr>
        <w:spacing w:before="29"/>
        <w:jc w:val="center"/>
        <w:rPr>
          <w:rFonts w:eastAsia="Arial" w:cs="Arial"/>
          <w:b/>
          <w:bCs/>
          <w:color w:val="0070C0"/>
          <w:spacing w:val="-1"/>
          <w:szCs w:val="20"/>
        </w:rPr>
      </w:pPr>
    </w:p>
    <w:p w14:paraId="00FD30A5" w14:textId="77777777" w:rsidR="002F00B6" w:rsidRDefault="002F00B6" w:rsidP="002F00B6">
      <w:pPr>
        <w:spacing w:before="29"/>
        <w:jc w:val="center"/>
        <w:rPr>
          <w:rFonts w:eastAsia="Arial" w:cs="Arial"/>
          <w:b/>
          <w:bCs/>
          <w:color w:val="0070C0"/>
          <w:spacing w:val="-1"/>
          <w:szCs w:val="20"/>
        </w:rPr>
      </w:pPr>
    </w:p>
    <w:p w14:paraId="13690A5F" w14:textId="77777777" w:rsidR="002F00B6" w:rsidRDefault="002F00B6" w:rsidP="002F00B6">
      <w:pPr>
        <w:spacing w:before="29"/>
        <w:jc w:val="center"/>
        <w:rPr>
          <w:rFonts w:eastAsia="Arial" w:cs="Arial"/>
          <w:b/>
          <w:bCs/>
          <w:color w:val="0070C0"/>
          <w:spacing w:val="-1"/>
          <w:szCs w:val="20"/>
        </w:rPr>
      </w:pPr>
    </w:p>
    <w:p w14:paraId="42CC212D" w14:textId="77777777" w:rsidR="002F00B6" w:rsidRDefault="002F00B6" w:rsidP="002F00B6">
      <w:pPr>
        <w:spacing w:before="29"/>
        <w:jc w:val="center"/>
        <w:rPr>
          <w:rFonts w:eastAsia="Arial" w:cs="Arial"/>
          <w:b/>
          <w:bCs/>
          <w:color w:val="0070C0"/>
          <w:spacing w:val="-1"/>
          <w:szCs w:val="20"/>
        </w:rPr>
      </w:pPr>
    </w:p>
    <w:p w14:paraId="3045262E" w14:textId="77777777" w:rsidR="002F00B6" w:rsidRDefault="002F00B6" w:rsidP="002F00B6">
      <w:pPr>
        <w:spacing w:before="29"/>
        <w:jc w:val="center"/>
        <w:rPr>
          <w:rFonts w:eastAsia="Arial" w:cs="Arial"/>
          <w:b/>
          <w:bCs/>
          <w:color w:val="0070C0"/>
          <w:spacing w:val="-1"/>
          <w:szCs w:val="20"/>
        </w:rPr>
      </w:pPr>
    </w:p>
    <w:p w14:paraId="6A87D765" w14:textId="77777777" w:rsidR="002F00B6" w:rsidRDefault="002F00B6" w:rsidP="002F00B6">
      <w:pPr>
        <w:spacing w:before="29"/>
        <w:jc w:val="center"/>
        <w:rPr>
          <w:rFonts w:eastAsia="Arial" w:cs="Arial"/>
          <w:b/>
          <w:bCs/>
          <w:color w:val="0070C0"/>
          <w:spacing w:val="-1"/>
          <w:szCs w:val="20"/>
        </w:rPr>
      </w:pPr>
    </w:p>
    <w:p w14:paraId="05512715" w14:textId="77777777" w:rsidR="002F00B6" w:rsidRDefault="002F00B6" w:rsidP="002F00B6">
      <w:pPr>
        <w:spacing w:before="29"/>
        <w:jc w:val="center"/>
        <w:rPr>
          <w:rFonts w:eastAsia="Arial" w:cs="Arial"/>
          <w:b/>
          <w:bCs/>
          <w:color w:val="0070C0"/>
          <w:spacing w:val="-1"/>
          <w:szCs w:val="20"/>
        </w:rPr>
      </w:pPr>
    </w:p>
    <w:p w14:paraId="78339CCD" w14:textId="77777777" w:rsidR="002F00B6" w:rsidRDefault="002F00B6" w:rsidP="002F00B6">
      <w:pPr>
        <w:spacing w:before="29"/>
        <w:jc w:val="center"/>
        <w:rPr>
          <w:rFonts w:eastAsia="Arial" w:cs="Arial"/>
          <w:b/>
          <w:bCs/>
          <w:color w:val="0070C0"/>
          <w:spacing w:val="-1"/>
          <w:szCs w:val="20"/>
        </w:rPr>
      </w:pPr>
    </w:p>
    <w:p w14:paraId="66F1CEBB" w14:textId="77777777" w:rsidR="002F00B6" w:rsidRDefault="002F00B6" w:rsidP="002F00B6">
      <w:pPr>
        <w:spacing w:before="29"/>
        <w:jc w:val="center"/>
        <w:rPr>
          <w:rFonts w:eastAsia="Arial" w:cs="Arial"/>
          <w:b/>
          <w:bCs/>
          <w:color w:val="0070C0"/>
          <w:spacing w:val="-1"/>
          <w:szCs w:val="20"/>
        </w:rPr>
      </w:pPr>
    </w:p>
    <w:p w14:paraId="2E08E343" w14:textId="77777777" w:rsidR="002F00B6" w:rsidRDefault="002F00B6" w:rsidP="002F00B6">
      <w:pPr>
        <w:spacing w:before="29"/>
        <w:jc w:val="center"/>
        <w:rPr>
          <w:rFonts w:eastAsia="Arial" w:cs="Arial"/>
          <w:b/>
          <w:bCs/>
          <w:color w:val="0070C0"/>
          <w:spacing w:val="-1"/>
          <w:szCs w:val="20"/>
        </w:rPr>
      </w:pPr>
    </w:p>
    <w:p w14:paraId="71B251A2" w14:textId="77777777" w:rsidR="002F00B6" w:rsidRDefault="002F00B6" w:rsidP="002F00B6">
      <w:pPr>
        <w:spacing w:before="29"/>
        <w:jc w:val="center"/>
        <w:rPr>
          <w:rFonts w:eastAsia="Arial" w:cs="Arial"/>
          <w:b/>
          <w:bCs/>
          <w:color w:val="0070C0"/>
          <w:spacing w:val="-1"/>
          <w:szCs w:val="20"/>
        </w:rPr>
      </w:pPr>
    </w:p>
    <w:p w14:paraId="7E1C819F" w14:textId="77777777" w:rsidR="002F00B6" w:rsidRDefault="002F00B6" w:rsidP="002F00B6">
      <w:pPr>
        <w:spacing w:before="29"/>
        <w:jc w:val="center"/>
        <w:rPr>
          <w:rFonts w:eastAsia="Arial" w:cs="Arial"/>
          <w:b/>
          <w:bCs/>
          <w:color w:val="0070C0"/>
          <w:spacing w:val="-1"/>
          <w:szCs w:val="20"/>
        </w:rPr>
      </w:pPr>
    </w:p>
    <w:p w14:paraId="545A36CE" w14:textId="77777777" w:rsidR="002F00B6" w:rsidRDefault="002F00B6" w:rsidP="002F00B6">
      <w:pPr>
        <w:spacing w:before="29"/>
        <w:jc w:val="center"/>
        <w:rPr>
          <w:rFonts w:eastAsia="Arial" w:cs="Arial"/>
          <w:b/>
          <w:bCs/>
          <w:color w:val="0070C0"/>
          <w:spacing w:val="-1"/>
          <w:szCs w:val="20"/>
        </w:rPr>
      </w:pPr>
    </w:p>
    <w:p w14:paraId="4E0C2071" w14:textId="77777777" w:rsidR="002F00B6" w:rsidRDefault="002F00B6" w:rsidP="002F00B6">
      <w:pPr>
        <w:spacing w:before="29"/>
        <w:jc w:val="center"/>
        <w:rPr>
          <w:rFonts w:eastAsia="Arial" w:cs="Arial"/>
          <w:b/>
          <w:bCs/>
          <w:color w:val="0070C0"/>
          <w:spacing w:val="-1"/>
          <w:szCs w:val="20"/>
        </w:rPr>
      </w:pPr>
    </w:p>
    <w:p w14:paraId="5EEB1B7F" w14:textId="77777777" w:rsidR="002F00B6" w:rsidRDefault="002F00B6" w:rsidP="002F00B6">
      <w:pPr>
        <w:spacing w:before="29"/>
        <w:jc w:val="center"/>
        <w:rPr>
          <w:rFonts w:eastAsia="Arial" w:cs="Arial"/>
          <w:b/>
          <w:bCs/>
          <w:color w:val="0070C0"/>
          <w:spacing w:val="-1"/>
          <w:szCs w:val="20"/>
        </w:rPr>
      </w:pPr>
      <w:bookmarkStart w:id="0" w:name="_GoBack"/>
      <w:bookmarkEnd w:id="0"/>
    </w:p>
    <w:p w14:paraId="772641ED" w14:textId="77777777" w:rsidR="002F00B6" w:rsidRDefault="002F00B6" w:rsidP="002F00B6">
      <w:pPr>
        <w:spacing w:before="29"/>
        <w:jc w:val="center"/>
        <w:rPr>
          <w:rFonts w:eastAsia="Arial" w:cs="Arial"/>
          <w:b/>
          <w:bCs/>
          <w:color w:val="0070C0"/>
          <w:spacing w:val="-1"/>
          <w:szCs w:val="20"/>
        </w:rPr>
      </w:pPr>
    </w:p>
    <w:p w14:paraId="13DE12F7" w14:textId="77777777" w:rsidR="002F00B6" w:rsidRDefault="002F00B6" w:rsidP="002F00B6">
      <w:pPr>
        <w:spacing w:before="29"/>
        <w:jc w:val="center"/>
        <w:rPr>
          <w:rFonts w:eastAsia="Arial" w:cs="Arial"/>
          <w:b/>
          <w:bCs/>
          <w:color w:val="0070C0"/>
          <w:spacing w:val="-1"/>
          <w:szCs w:val="20"/>
        </w:rPr>
      </w:pPr>
    </w:p>
    <w:p w14:paraId="06174BA9" w14:textId="77777777" w:rsidR="002F00B6" w:rsidRDefault="002F00B6" w:rsidP="002F00B6">
      <w:pPr>
        <w:spacing w:before="29"/>
        <w:jc w:val="center"/>
        <w:rPr>
          <w:rFonts w:eastAsia="Arial" w:cs="Arial"/>
          <w:b/>
          <w:bCs/>
          <w:color w:val="0070C0"/>
          <w:spacing w:val="-1"/>
          <w:szCs w:val="20"/>
        </w:rPr>
      </w:pPr>
    </w:p>
    <w:p w14:paraId="0C3FD840" w14:textId="0E524B16" w:rsidR="002F00B6" w:rsidRPr="008C658B" w:rsidRDefault="002F00B6" w:rsidP="002F00B6">
      <w:pPr>
        <w:spacing w:before="29"/>
        <w:jc w:val="center"/>
        <w:rPr>
          <w:rFonts w:eastAsia="Arial" w:cs="Arial"/>
          <w:color w:val="0070C0"/>
          <w:szCs w:val="20"/>
        </w:rPr>
      </w:pPr>
      <w:r w:rsidRPr="008C658B">
        <w:rPr>
          <w:rFonts w:eastAsia="Arial" w:cs="Arial"/>
          <w:b/>
          <w:bCs/>
          <w:color w:val="0070C0"/>
          <w:spacing w:val="-1"/>
          <w:szCs w:val="20"/>
        </w:rPr>
        <w:t>M</w:t>
      </w:r>
      <w:r w:rsidRPr="008C658B">
        <w:rPr>
          <w:rFonts w:eastAsia="Arial" w:cs="Arial"/>
          <w:b/>
          <w:bCs/>
          <w:color w:val="0070C0"/>
          <w:szCs w:val="20"/>
        </w:rPr>
        <w:t>ini</w:t>
      </w:r>
      <w:r w:rsidRPr="008C658B">
        <w:rPr>
          <w:rFonts w:eastAsia="Arial" w:cs="Arial"/>
          <w:b/>
          <w:bCs/>
          <w:color w:val="0070C0"/>
          <w:spacing w:val="1"/>
          <w:szCs w:val="20"/>
        </w:rPr>
        <w:t>s</w:t>
      </w:r>
      <w:r w:rsidRPr="008C658B">
        <w:rPr>
          <w:rFonts w:eastAsia="Arial" w:cs="Arial"/>
          <w:b/>
          <w:bCs/>
          <w:color w:val="0070C0"/>
          <w:szCs w:val="20"/>
        </w:rPr>
        <w:t>ter</w:t>
      </w:r>
      <w:r w:rsidRPr="008C658B">
        <w:rPr>
          <w:rFonts w:eastAsia="Arial" w:cs="Arial"/>
          <w:b/>
          <w:bCs/>
          <w:color w:val="0070C0"/>
          <w:spacing w:val="1"/>
          <w:szCs w:val="20"/>
        </w:rPr>
        <w:t>s</w:t>
      </w:r>
      <w:r w:rsidRPr="008C658B">
        <w:rPr>
          <w:rFonts w:eastAsia="Arial" w:cs="Arial"/>
          <w:b/>
          <w:bCs/>
          <w:color w:val="0070C0"/>
          <w:szCs w:val="20"/>
        </w:rPr>
        <w:t>t</w:t>
      </w:r>
      <w:r w:rsidRPr="008C658B">
        <w:rPr>
          <w:rFonts w:eastAsia="Arial" w:cs="Arial"/>
          <w:b/>
          <w:bCs/>
          <w:color w:val="0070C0"/>
          <w:spacing w:val="-5"/>
          <w:szCs w:val="20"/>
        </w:rPr>
        <w:t>v</w:t>
      </w:r>
      <w:r w:rsidRPr="008C658B">
        <w:rPr>
          <w:rFonts w:eastAsia="Arial" w:cs="Arial"/>
          <w:b/>
          <w:bCs/>
          <w:color w:val="0070C0"/>
          <w:szCs w:val="20"/>
        </w:rPr>
        <w:t>o hospodárstva</w:t>
      </w:r>
      <w:r w:rsidRPr="008C658B">
        <w:rPr>
          <w:rFonts w:eastAsia="Arial" w:cs="Arial"/>
          <w:b/>
          <w:bCs/>
          <w:color w:val="0070C0"/>
          <w:spacing w:val="-1"/>
          <w:szCs w:val="20"/>
        </w:rPr>
        <w:t xml:space="preserve"> </w:t>
      </w:r>
      <w:r w:rsidRPr="008C658B">
        <w:rPr>
          <w:rFonts w:eastAsia="Arial" w:cs="Arial"/>
          <w:b/>
          <w:bCs/>
          <w:color w:val="0070C0"/>
          <w:szCs w:val="20"/>
        </w:rPr>
        <w:t>Slo</w:t>
      </w:r>
      <w:r w:rsidRPr="008C658B">
        <w:rPr>
          <w:rFonts w:eastAsia="Arial" w:cs="Arial"/>
          <w:b/>
          <w:bCs/>
          <w:color w:val="0070C0"/>
          <w:spacing w:val="-4"/>
          <w:szCs w:val="20"/>
        </w:rPr>
        <w:t>v</w:t>
      </w:r>
      <w:r w:rsidRPr="008C658B">
        <w:rPr>
          <w:rFonts w:eastAsia="Arial" w:cs="Arial"/>
          <w:b/>
          <w:bCs/>
          <w:color w:val="0070C0"/>
          <w:spacing w:val="1"/>
          <w:szCs w:val="20"/>
        </w:rPr>
        <w:t>e</w:t>
      </w:r>
      <w:r w:rsidRPr="008C658B">
        <w:rPr>
          <w:rFonts w:eastAsia="Arial" w:cs="Arial"/>
          <w:b/>
          <w:bCs/>
          <w:color w:val="0070C0"/>
          <w:szCs w:val="20"/>
        </w:rPr>
        <w:t>ns</w:t>
      </w:r>
      <w:r w:rsidRPr="008C658B">
        <w:rPr>
          <w:rFonts w:eastAsia="Arial" w:cs="Arial"/>
          <w:b/>
          <w:bCs/>
          <w:color w:val="0070C0"/>
          <w:spacing w:val="1"/>
          <w:szCs w:val="20"/>
        </w:rPr>
        <w:t>ke</w:t>
      </w:r>
      <w:r w:rsidRPr="008C658B">
        <w:rPr>
          <w:rFonts w:eastAsia="Arial" w:cs="Arial"/>
          <w:b/>
          <w:bCs/>
          <w:color w:val="0070C0"/>
          <w:szCs w:val="20"/>
        </w:rPr>
        <w:t>j</w:t>
      </w:r>
      <w:r w:rsidRPr="008C658B">
        <w:rPr>
          <w:rFonts w:eastAsia="Arial" w:cs="Arial"/>
          <w:b/>
          <w:bCs/>
          <w:color w:val="0070C0"/>
          <w:spacing w:val="-2"/>
          <w:szCs w:val="20"/>
        </w:rPr>
        <w:t xml:space="preserve"> </w:t>
      </w:r>
      <w:r w:rsidRPr="008C658B">
        <w:rPr>
          <w:rFonts w:eastAsia="Arial" w:cs="Arial"/>
          <w:b/>
          <w:bCs/>
          <w:color w:val="0070C0"/>
          <w:szCs w:val="20"/>
        </w:rPr>
        <w:t>r</w:t>
      </w:r>
      <w:r w:rsidRPr="008C658B">
        <w:rPr>
          <w:rFonts w:eastAsia="Arial" w:cs="Arial"/>
          <w:b/>
          <w:bCs/>
          <w:color w:val="0070C0"/>
          <w:spacing w:val="1"/>
          <w:szCs w:val="20"/>
        </w:rPr>
        <w:t>e</w:t>
      </w:r>
      <w:r w:rsidRPr="008C658B">
        <w:rPr>
          <w:rFonts w:eastAsia="Arial" w:cs="Arial"/>
          <w:b/>
          <w:bCs/>
          <w:color w:val="0070C0"/>
          <w:szCs w:val="20"/>
        </w:rPr>
        <w:t>publi</w:t>
      </w:r>
      <w:r w:rsidRPr="008C658B">
        <w:rPr>
          <w:rFonts w:eastAsia="Arial" w:cs="Arial"/>
          <w:b/>
          <w:bCs/>
          <w:color w:val="0070C0"/>
          <w:spacing w:val="1"/>
          <w:szCs w:val="20"/>
        </w:rPr>
        <w:t>k</w:t>
      </w:r>
      <w:r w:rsidRPr="008C658B">
        <w:rPr>
          <w:rFonts w:eastAsia="Arial" w:cs="Arial"/>
          <w:b/>
          <w:bCs/>
          <w:color w:val="0070C0"/>
          <w:szCs w:val="20"/>
        </w:rPr>
        <w:t>y</w:t>
      </w:r>
    </w:p>
    <w:p w14:paraId="0857CC79" w14:textId="77777777" w:rsidR="002F00B6" w:rsidRDefault="002F00B6" w:rsidP="002F00B6">
      <w:pPr>
        <w:tabs>
          <w:tab w:val="left" w:pos="1930"/>
          <w:tab w:val="center" w:pos="5050"/>
        </w:tabs>
        <w:jc w:val="center"/>
        <w:rPr>
          <w:rFonts w:eastAsia="Arial" w:cs="Arial"/>
          <w:color w:val="0070C0"/>
          <w:spacing w:val="1"/>
          <w:szCs w:val="20"/>
        </w:rPr>
      </w:pPr>
      <w:r w:rsidRPr="005E6BFC">
        <w:rPr>
          <w:rFonts w:eastAsia="Arial" w:cs="Arial"/>
          <w:b/>
          <w:bCs/>
          <w:color w:val="0070C0"/>
          <w:spacing w:val="-8"/>
          <w:szCs w:val="20"/>
        </w:rPr>
        <w:t xml:space="preserve">Sprostredkovateľský </w:t>
      </w:r>
      <w:r w:rsidRPr="005E6BFC">
        <w:rPr>
          <w:rFonts w:eastAsia="Arial" w:cs="Arial"/>
          <w:b/>
          <w:bCs/>
          <w:color w:val="0070C0"/>
          <w:szCs w:val="20"/>
        </w:rPr>
        <w:t>orgán</w:t>
      </w:r>
      <w:r w:rsidRPr="005E6BFC">
        <w:rPr>
          <w:rFonts w:eastAsia="Arial" w:cs="Arial"/>
          <w:b/>
          <w:bCs/>
          <w:color w:val="0070C0"/>
          <w:spacing w:val="-6"/>
          <w:szCs w:val="20"/>
        </w:rPr>
        <w:t xml:space="preserve"> </w:t>
      </w:r>
      <w:r w:rsidRPr="005E6BFC">
        <w:rPr>
          <w:rFonts w:eastAsia="Arial" w:cs="Arial"/>
          <w:b/>
          <w:bCs/>
          <w:color w:val="0070C0"/>
          <w:spacing w:val="3"/>
          <w:szCs w:val="20"/>
        </w:rPr>
        <w:t>p</w:t>
      </w:r>
      <w:r w:rsidRPr="005E6BFC">
        <w:rPr>
          <w:rFonts w:eastAsia="Arial" w:cs="Arial"/>
          <w:b/>
          <w:bCs/>
          <w:color w:val="0070C0"/>
          <w:spacing w:val="-1"/>
          <w:szCs w:val="20"/>
        </w:rPr>
        <w:t>r</w:t>
      </w:r>
      <w:r w:rsidRPr="005E6BFC">
        <w:rPr>
          <w:rFonts w:eastAsia="Arial" w:cs="Arial"/>
          <w:b/>
          <w:bCs/>
          <w:color w:val="0070C0"/>
          <w:szCs w:val="20"/>
        </w:rPr>
        <w:t>e Program Slovensko</w:t>
      </w:r>
    </w:p>
    <w:p w14:paraId="2B4BE5EF" w14:textId="57067183" w:rsidR="002F00B6" w:rsidRPr="008C658B" w:rsidRDefault="002F00B6" w:rsidP="002F00B6">
      <w:pPr>
        <w:tabs>
          <w:tab w:val="left" w:pos="1930"/>
          <w:tab w:val="center" w:pos="5050"/>
        </w:tabs>
        <w:jc w:val="center"/>
        <w:rPr>
          <w:rFonts w:eastAsia="Arial" w:cs="Arial"/>
          <w:color w:val="0070C0"/>
          <w:szCs w:val="20"/>
        </w:rPr>
      </w:pPr>
      <w:r w:rsidRPr="00DC4A84">
        <w:rPr>
          <w:rFonts w:eastAsia="Arial" w:cs="Arial"/>
          <w:color w:val="0070C0"/>
          <w:spacing w:val="1"/>
          <w:szCs w:val="20"/>
        </w:rPr>
        <w:t>Ver</w:t>
      </w:r>
      <w:r w:rsidRPr="00DC4A84">
        <w:rPr>
          <w:rFonts w:eastAsia="Arial" w:cs="Arial"/>
          <w:color w:val="0070C0"/>
          <w:spacing w:val="-2"/>
          <w:szCs w:val="20"/>
        </w:rPr>
        <w:t>z</w:t>
      </w:r>
      <w:r w:rsidRPr="00DC4A84">
        <w:rPr>
          <w:rFonts w:eastAsia="Arial" w:cs="Arial"/>
          <w:color w:val="0070C0"/>
          <w:szCs w:val="20"/>
        </w:rPr>
        <w:t xml:space="preserve">ia </w:t>
      </w:r>
      <w:r w:rsidR="00A93252">
        <w:rPr>
          <w:rFonts w:eastAsia="Arial" w:cs="Arial"/>
          <w:color w:val="0070C0"/>
          <w:szCs w:val="20"/>
        </w:rPr>
        <w:t>2</w:t>
      </w:r>
      <w:r w:rsidRPr="00DC4A84">
        <w:rPr>
          <w:rFonts w:eastAsia="Arial" w:cs="Arial"/>
          <w:color w:val="0070C0"/>
          <w:szCs w:val="20"/>
        </w:rPr>
        <w:t xml:space="preserve">.0, </w:t>
      </w:r>
      <w:r w:rsidR="008B5F51">
        <w:rPr>
          <w:rFonts w:eastAsia="Arial" w:cs="Arial"/>
          <w:color w:val="0070C0"/>
          <w:szCs w:val="20"/>
        </w:rPr>
        <w:t>21</w:t>
      </w:r>
      <w:r w:rsidR="00D0591A">
        <w:rPr>
          <w:rFonts w:eastAsia="Arial" w:cs="Arial"/>
          <w:color w:val="0070C0"/>
          <w:szCs w:val="20"/>
        </w:rPr>
        <w:t>.</w:t>
      </w:r>
      <w:r w:rsidR="00AB602A">
        <w:rPr>
          <w:rFonts w:eastAsia="Arial" w:cs="Arial"/>
          <w:color w:val="0070C0"/>
          <w:szCs w:val="20"/>
        </w:rPr>
        <w:t xml:space="preserve"> </w:t>
      </w:r>
      <w:r w:rsidR="008B5F51">
        <w:rPr>
          <w:rFonts w:eastAsia="Arial" w:cs="Arial"/>
          <w:color w:val="0070C0"/>
          <w:szCs w:val="20"/>
        </w:rPr>
        <w:t>06</w:t>
      </w:r>
      <w:r w:rsidR="00AB602A">
        <w:rPr>
          <w:rFonts w:eastAsia="Arial" w:cs="Arial"/>
          <w:color w:val="0070C0"/>
          <w:szCs w:val="20"/>
        </w:rPr>
        <w:t xml:space="preserve"> </w:t>
      </w:r>
      <w:r w:rsidRPr="00DC4A84">
        <w:rPr>
          <w:rFonts w:eastAsia="Arial" w:cs="Arial"/>
          <w:color w:val="0070C0"/>
          <w:spacing w:val="1"/>
          <w:szCs w:val="20"/>
        </w:rPr>
        <w:t>20</w:t>
      </w:r>
      <w:r w:rsidRPr="00DC4A84">
        <w:rPr>
          <w:rFonts w:eastAsia="Arial" w:cs="Arial"/>
          <w:color w:val="0070C0"/>
          <w:szCs w:val="20"/>
        </w:rPr>
        <w:t>2</w:t>
      </w:r>
      <w:r w:rsidR="00A93252">
        <w:rPr>
          <w:rFonts w:eastAsia="Arial" w:cs="Arial"/>
          <w:color w:val="0070C0"/>
          <w:szCs w:val="20"/>
        </w:rPr>
        <w:t>4</w:t>
      </w:r>
    </w:p>
    <w:p w14:paraId="1FF636CD" w14:textId="77777777" w:rsidR="002F00B6" w:rsidRDefault="002F00B6">
      <w:pPr>
        <w:jc w:val="left"/>
        <w:rPr>
          <w:b/>
        </w:rPr>
      </w:pPr>
      <w:r>
        <w:rPr>
          <w:b/>
        </w:rPr>
        <w:br w:type="page"/>
      </w:r>
    </w:p>
    <w:p w14:paraId="30EADC5B" w14:textId="20DA171E" w:rsidR="00840806" w:rsidRPr="00375341" w:rsidRDefault="0050072D" w:rsidP="00283CC8">
      <w:pPr>
        <w:pStyle w:val="Nadpis1"/>
      </w:pPr>
      <w:r w:rsidRPr="00375341">
        <w:lastRenderedPageBreak/>
        <w:t>ÚVOD</w:t>
      </w:r>
    </w:p>
    <w:p w14:paraId="3D14623B" w14:textId="77777777" w:rsidR="00840806" w:rsidRPr="00375341" w:rsidRDefault="00840806" w:rsidP="00840806">
      <w:pPr>
        <w:pStyle w:val="Bezriadkovania"/>
      </w:pPr>
    </w:p>
    <w:p w14:paraId="3A95C79B" w14:textId="7D836CCF" w:rsidR="00A93252" w:rsidRDefault="00741213" w:rsidP="00840806">
      <w:pPr>
        <w:pStyle w:val="Bezriadkovania"/>
      </w:pPr>
      <w:r w:rsidRPr="00375341">
        <w:t>Cieľom metodiky</w:t>
      </w:r>
      <w:r w:rsidR="00A93252">
        <w:t xml:space="preserve"> </w:t>
      </w:r>
      <w:r w:rsidR="00A93252" w:rsidRPr="000D1551">
        <w:rPr>
          <w:rFonts w:cstheme="minorHAnsi"/>
        </w:rPr>
        <w:t>posudzovania podniku v</w:t>
      </w:r>
      <w:r w:rsidR="00A93252">
        <w:rPr>
          <w:rFonts w:cstheme="minorHAnsi"/>
        </w:rPr>
        <w:t> </w:t>
      </w:r>
      <w:r w:rsidR="00A93252" w:rsidRPr="006A0F49">
        <w:rPr>
          <w:rFonts w:cstheme="minorHAnsi"/>
        </w:rPr>
        <w:t xml:space="preserve">ťažkostiach </w:t>
      </w:r>
      <w:r w:rsidR="00C67192">
        <w:rPr>
          <w:rFonts w:cstheme="minorHAnsi"/>
        </w:rPr>
        <w:t xml:space="preserve">pre subjekty mimo schém pomoci </w:t>
      </w:r>
      <w:r w:rsidR="00A93252" w:rsidRPr="006A0F49">
        <w:rPr>
          <w:rFonts w:cstheme="minorHAnsi"/>
        </w:rPr>
        <w:t xml:space="preserve">(ďalej len „metodika“) </w:t>
      </w:r>
      <w:r w:rsidRPr="00375341">
        <w:t xml:space="preserve"> je </w:t>
      </w:r>
      <w:r w:rsidR="003E59E6" w:rsidRPr="00375341">
        <w:t xml:space="preserve"> </w:t>
      </w:r>
      <w:r w:rsidR="00C67192">
        <w:t xml:space="preserve">poskytnúť </w:t>
      </w:r>
      <w:r w:rsidR="003E59E6" w:rsidRPr="00375341">
        <w:t>informácie o </w:t>
      </w:r>
      <w:r w:rsidR="00A93252" w:rsidRPr="000D1551">
        <w:rPr>
          <w:rFonts w:cstheme="minorHAnsi"/>
        </w:rPr>
        <w:t xml:space="preserve">tom, kedy </w:t>
      </w:r>
      <w:r w:rsidR="00C67192">
        <w:rPr>
          <w:rFonts w:cstheme="minorHAnsi"/>
        </w:rPr>
        <w:t xml:space="preserve">jednotlivé subjekty </w:t>
      </w:r>
      <w:r w:rsidR="00A93252" w:rsidRPr="000D1551">
        <w:rPr>
          <w:rFonts w:cstheme="minorHAnsi"/>
        </w:rPr>
        <w:t>sú, resp. nie sú považovan</w:t>
      </w:r>
      <w:r w:rsidR="00A93252">
        <w:rPr>
          <w:rFonts w:cstheme="minorHAnsi"/>
        </w:rPr>
        <w:t xml:space="preserve">é </w:t>
      </w:r>
      <w:r w:rsidR="00A93252" w:rsidRPr="000D1551">
        <w:rPr>
          <w:rFonts w:cstheme="minorHAnsi"/>
        </w:rPr>
        <w:t>za podnik v ťažkostiach a o postupoch poskytovateľa pri overovaní toho, či overovaný subjekt je podnikom v ťažkostiach.</w:t>
      </w:r>
      <w:r w:rsidR="00430254" w:rsidRPr="00375341">
        <w:t xml:space="preserve"> </w:t>
      </w:r>
    </w:p>
    <w:p w14:paraId="3F85A18A" w14:textId="77777777" w:rsidR="00A93252" w:rsidRDefault="00A93252" w:rsidP="00840806">
      <w:pPr>
        <w:pStyle w:val="Bezriadkovania"/>
      </w:pPr>
    </w:p>
    <w:p w14:paraId="55807D9B" w14:textId="77777777" w:rsidR="00A93252" w:rsidRDefault="00430254" w:rsidP="00840806">
      <w:pPr>
        <w:pStyle w:val="Bezriadkovania"/>
      </w:pPr>
      <w:r w:rsidRPr="00375341">
        <w:t>Pojem subjekt pre účely tejto metodiky zahŕňa</w:t>
      </w:r>
      <w:r w:rsidR="00A93252">
        <w:t>:</w:t>
      </w:r>
    </w:p>
    <w:p w14:paraId="5AC2AE7F" w14:textId="4DA47791" w:rsidR="00A93252" w:rsidRDefault="00430254" w:rsidP="009E0C4D">
      <w:pPr>
        <w:pStyle w:val="Bezriadkovania"/>
        <w:numPr>
          <w:ilvl w:val="0"/>
          <w:numId w:val="32"/>
        </w:numPr>
      </w:pPr>
      <w:r w:rsidRPr="00375341">
        <w:t>prijímateľa</w:t>
      </w:r>
      <w:r w:rsidR="004D72FD">
        <w:t>,</w:t>
      </w:r>
      <w:r w:rsidRPr="00375341">
        <w:t xml:space="preserve"> </w:t>
      </w:r>
    </w:p>
    <w:p w14:paraId="2A17D65F" w14:textId="4DB10223" w:rsidR="009D7CBA" w:rsidRDefault="004D72FD" w:rsidP="009E0C4D">
      <w:pPr>
        <w:pStyle w:val="Bezriadkovania"/>
        <w:numPr>
          <w:ilvl w:val="0"/>
          <w:numId w:val="32"/>
        </w:numPr>
      </w:pPr>
      <w:r>
        <w:t>partnera aj nového partnera</w:t>
      </w:r>
      <w:r w:rsidR="00A93252">
        <w:t>,</w:t>
      </w:r>
      <w:r w:rsidR="00430254" w:rsidRPr="00375341">
        <w:t xml:space="preserve"> </w:t>
      </w:r>
      <w:r w:rsidR="00A93252">
        <w:t>a</w:t>
      </w:r>
      <w:r w:rsidR="00430254" w:rsidRPr="00375341">
        <w:t xml:space="preserve">k sa niektoré ustanovenie týka iba prijímateľa alebo iba </w:t>
      </w:r>
      <w:r w:rsidR="00FB1DC8">
        <w:t>partnera</w:t>
      </w:r>
      <w:r w:rsidR="00430254" w:rsidRPr="00375341">
        <w:t>, je na jeho označenie použitý príslušný pojem vo význ</w:t>
      </w:r>
      <w:r w:rsidR="001102B1">
        <w:t>ame</w:t>
      </w:r>
      <w:r w:rsidR="00A93252">
        <w:t xml:space="preserve"> uvedenom nižšie v tejto kapitole,</w:t>
      </w:r>
    </w:p>
    <w:p w14:paraId="6DA98423" w14:textId="6865E059" w:rsidR="00A93252" w:rsidRPr="00D70496" w:rsidRDefault="00A93252" w:rsidP="009E0C4D">
      <w:pPr>
        <w:pStyle w:val="Bezriadkovania"/>
        <w:numPr>
          <w:ilvl w:val="0"/>
          <w:numId w:val="32"/>
        </w:numPr>
      </w:pPr>
      <w:r w:rsidRPr="00FB1D3D">
        <w:rPr>
          <w:rFonts w:cstheme="minorHAnsi"/>
        </w:rPr>
        <w:t xml:space="preserve">žiadateľa v procesnom štádiu pred uzavretím zmluvy podľa § 22 </w:t>
      </w:r>
      <w:r>
        <w:rPr>
          <w:rFonts w:cstheme="minorHAnsi"/>
          <w:iCs/>
        </w:rPr>
        <w:t xml:space="preserve">zákona </w:t>
      </w:r>
      <w:r w:rsidRPr="001853C5">
        <w:rPr>
          <w:rFonts w:cstheme="minorHAnsi"/>
        </w:rPr>
        <w:t xml:space="preserve">č. 121/2022 Z. z. o príspevkoch z fondov Európskej únie a o zmene a doplnení niektorých zákonov  znení neskorších predpisov (ďalej ako </w:t>
      </w:r>
      <w:r w:rsidRPr="006A0F49">
        <w:rPr>
          <w:rFonts w:cstheme="minorHAnsi"/>
          <w:i/>
        </w:rPr>
        <w:t>„z</w:t>
      </w:r>
      <w:r w:rsidRPr="006A0F49">
        <w:rPr>
          <w:rFonts w:cstheme="minorHAnsi"/>
          <w:i/>
          <w:iCs/>
        </w:rPr>
        <w:t>ákon o príspevkoch z fondov EÚ“</w:t>
      </w:r>
      <w:r>
        <w:rPr>
          <w:rFonts w:cstheme="minorHAnsi"/>
          <w:iCs/>
        </w:rPr>
        <w:t>)</w:t>
      </w:r>
      <w:r w:rsidR="00D70496">
        <w:rPr>
          <w:rFonts w:cstheme="minorHAnsi"/>
        </w:rPr>
        <w:t>;</w:t>
      </w:r>
    </w:p>
    <w:p w14:paraId="275CB5B6" w14:textId="3F68E0D8" w:rsidR="00D70496" w:rsidRPr="00D70496" w:rsidRDefault="00D70496" w:rsidP="009E0C4D">
      <w:pPr>
        <w:pStyle w:val="Bezriadkovania"/>
        <w:numPr>
          <w:ilvl w:val="0"/>
          <w:numId w:val="32"/>
        </w:numPr>
      </w:pPr>
      <w:r>
        <w:rPr>
          <w:rFonts w:cstheme="minorHAnsi"/>
        </w:rPr>
        <w:t>užívateľa;</w:t>
      </w:r>
    </w:p>
    <w:p w14:paraId="35869709" w14:textId="55431631" w:rsidR="00D70496" w:rsidRDefault="00D70496" w:rsidP="009E0C4D">
      <w:pPr>
        <w:pStyle w:val="Bezriadkovania"/>
        <w:numPr>
          <w:ilvl w:val="0"/>
          <w:numId w:val="32"/>
        </w:numPr>
      </w:pPr>
      <w:r>
        <w:rPr>
          <w:rFonts w:cstheme="minorHAnsi"/>
        </w:rPr>
        <w:t>príjemcu štátnej pomoci nespadajúceho pod predchádzajúce písmená.</w:t>
      </w:r>
    </w:p>
    <w:p w14:paraId="26C294F7" w14:textId="77777777" w:rsidR="00A93252" w:rsidRDefault="00A93252" w:rsidP="00840806">
      <w:pPr>
        <w:pStyle w:val="Bezriadkovania"/>
        <w:rPr>
          <w:b/>
        </w:rPr>
      </w:pPr>
    </w:p>
    <w:p w14:paraId="364BC287" w14:textId="4F62A49B" w:rsidR="001102B1" w:rsidRDefault="001102B1" w:rsidP="00840806">
      <w:pPr>
        <w:pStyle w:val="Bezriadkovania"/>
      </w:pPr>
      <w:r w:rsidRPr="001102B1">
        <w:rPr>
          <w:b/>
        </w:rPr>
        <w:t>Prijímateľ</w:t>
      </w:r>
      <w:r>
        <w:t xml:space="preserve"> - prijímateľ podľa § 3  písm. s) zákon</w:t>
      </w:r>
      <w:r w:rsidR="006440DD">
        <w:t>a</w:t>
      </w:r>
      <w:r>
        <w:t xml:space="preserve"> o príspevkoch z fondov EÚ. Do momentu nadobudnutia účinnosti zmluvy o poskytnutí nenávratného finančného príspevku, teda do momentu poskytnutia pomoci, sa prijímateľ v tejto schéme označuje ako žiadateľ;</w:t>
      </w:r>
    </w:p>
    <w:p w14:paraId="707FE601" w14:textId="58B7886E" w:rsidR="001102B1" w:rsidRDefault="001102B1" w:rsidP="00840806">
      <w:pPr>
        <w:pStyle w:val="Bezriadkovania"/>
      </w:pPr>
      <w:r w:rsidRPr="001102B1">
        <w:rPr>
          <w:b/>
        </w:rPr>
        <w:t>Partner</w:t>
      </w:r>
      <w:r>
        <w:t xml:space="preserve"> - osoba podľa § 3  písm. t) zákona o príspevkoch z fondov EÚ</w:t>
      </w:r>
      <w:r w:rsidRPr="001102B1">
        <w:t>, ktorá sa spolupodieľa na príprave projektu so žiadateľom a na realizácii projektu s prijímateľom podľa písomnej zmluvy uzavretej medzi prijímateľom a partnerom alebo ktorá sa spolupodieľa na realizácii projektu s prijímateľom podľa písomnej zmluvy uzavretej medzi prijímateľom a partnerom. Partnerom nie je osoba, ktorá má vo vzťahu k prijímateľovi postavenie</w:t>
      </w:r>
      <w:r w:rsidR="004D72FD">
        <w:t xml:space="preserve"> dodávateľa alebo subdodávateľa;</w:t>
      </w:r>
    </w:p>
    <w:p w14:paraId="2D949277" w14:textId="21267D8F" w:rsidR="004D72FD" w:rsidRDefault="004D72FD" w:rsidP="004D72FD">
      <w:pPr>
        <w:pStyle w:val="Bezriadkovania"/>
      </w:pPr>
      <w:r w:rsidRPr="004D72FD">
        <w:rPr>
          <w:b/>
        </w:rPr>
        <w:t>Nový partner</w:t>
      </w:r>
      <w:r w:rsidR="006440DD">
        <w:t xml:space="preserve"> -</w:t>
      </w:r>
      <w:r w:rsidR="006440DD" w:rsidRPr="006440DD">
        <w:t xml:space="preserve"> </w:t>
      </w:r>
      <w:r w:rsidR="006440DD" w:rsidRPr="00DF278A">
        <w:t>osoba, ktorá spĺňa definíciu partnera a vo vzťahu k projektu predstavuje doplnenie nového partnera alebo nahradenie existujúceho partnera, pričom tento nový partner nebol zahrnutý do realizácie projektu v čase prípravy a predloženia žiadosti o poskytnutie nenávratného finančného príspevku. Nový partner sa stáva partnerom nadobudnutím účinnosti dodatku k zmluve o poskytnutí nenávratného finančného príspevku po predchádzajúcom schválení žiadosti o zmenu zmluvy o poskytnutí nenávratného finančného príspevku, predmetom ktorej je nový partner. Doplnenie nového partnera ani nahradenie existujúceho partnera nebude mať za následok zvýšenie objemu schválených prostriedkov mechanizmu na projekt;</w:t>
      </w:r>
    </w:p>
    <w:p w14:paraId="1C567F7E" w14:textId="7F57A41E" w:rsidR="00D70496" w:rsidRDefault="00D70496" w:rsidP="004D72FD">
      <w:pPr>
        <w:pStyle w:val="Bezriadkovania"/>
      </w:pPr>
      <w:r w:rsidRPr="00D70496">
        <w:rPr>
          <w:b/>
        </w:rPr>
        <w:t>Žiadateľ</w:t>
      </w:r>
      <w:r>
        <w:t xml:space="preserve"> – subjekt podľa § 3 písm. v) zákona o príspevkoch z fondov EÚ;</w:t>
      </w:r>
    </w:p>
    <w:p w14:paraId="60401067" w14:textId="534584E8" w:rsidR="00D70496" w:rsidRDefault="00D70496" w:rsidP="004D72FD">
      <w:pPr>
        <w:pStyle w:val="Bezriadkovania"/>
      </w:pPr>
      <w:r w:rsidRPr="00D70496">
        <w:rPr>
          <w:b/>
        </w:rPr>
        <w:t>Poskytovateľ</w:t>
      </w:r>
      <w:r>
        <w:t xml:space="preserve"> – orgán podľa § 3 písm. w) zákona o príspevkoch z fondov EÚ;</w:t>
      </w:r>
    </w:p>
    <w:p w14:paraId="50020D0F" w14:textId="47EF5A17" w:rsidR="00D70496" w:rsidRDefault="00D70496" w:rsidP="009E0C4D">
      <w:pPr>
        <w:pStyle w:val="Bezriadkovania"/>
      </w:pPr>
      <w:r w:rsidRPr="009E0C4D">
        <w:rPr>
          <w:b/>
        </w:rPr>
        <w:t>Hospodárska činnosť</w:t>
      </w:r>
      <w:r w:rsidRPr="009E0C4D">
        <w:t xml:space="preserve"> - skutočnosť, či podnik dosahuje alebo nedosahuje zisk (berúc do úvahy subjekty, ktoré nevznikli primárne za účelom dosahovania zisku) je pre účely posúdenia napĺňania, resp. nenapĺňania definície podniku v ťažkostiach, irelevantná. Jediným dôležitým kritériom je, či podnik vykonáva hospodársku činnosť</w:t>
      </w:r>
      <w:r>
        <w:rPr>
          <w:rStyle w:val="Odkaznapoznmkupodiarou"/>
        </w:rPr>
        <w:footnoteReference w:id="2"/>
      </w:r>
    </w:p>
    <w:p w14:paraId="446007EF" w14:textId="6766539B" w:rsidR="00D70496" w:rsidRDefault="00D70496" w:rsidP="009E0C4D">
      <w:pPr>
        <w:pStyle w:val="Bezriadkovania"/>
      </w:pPr>
    </w:p>
    <w:p w14:paraId="55ED8460" w14:textId="2D1C06E1" w:rsidR="00D70496" w:rsidRDefault="00D70496" w:rsidP="004D72FD">
      <w:pPr>
        <w:pStyle w:val="Bezriadkovania"/>
      </w:pPr>
      <w:r w:rsidRPr="009E0C4D">
        <w:t>Použitie jednotného čísla zahŕňa aj množné číslo a naopak. Odkazom na právny predpis sa redukuje text tejto metodiky z dôvodu prevencie nadbytočnosti.</w:t>
      </w:r>
    </w:p>
    <w:p w14:paraId="10FD1731" w14:textId="77777777" w:rsidR="00A93252" w:rsidRPr="004D72FD" w:rsidRDefault="00A93252" w:rsidP="004D72FD">
      <w:pPr>
        <w:pStyle w:val="Bezriadkovania"/>
      </w:pPr>
    </w:p>
    <w:p w14:paraId="576D0C4B" w14:textId="7AE1E42D" w:rsidR="001102B1" w:rsidRPr="00375341" w:rsidRDefault="001102B1" w:rsidP="00840806">
      <w:pPr>
        <w:pStyle w:val="Bezriadkovania"/>
      </w:pPr>
      <w:r>
        <w:t xml:space="preserve">Táto metodika sa vzťahuje na posudzovanie podmienky nebyť podnikom v ťažkostiach pre subjekty, ktorým sa poskytuje nenávratný finančný príspevok (ďalej len „NFP“) z programu Slovensko 2021 – 2027 v rámci výzvy </w:t>
      </w:r>
      <w:r w:rsidR="006F79A2">
        <w:t>na predkladanie žiadostí o nenávratný finančný príspevok alebo výzvy na prípravu a predloženie národného projektu (ďalej</w:t>
      </w:r>
      <w:r w:rsidR="0047355F">
        <w:t xml:space="preserve"> obe</w:t>
      </w:r>
      <w:r w:rsidR="006F79A2">
        <w:t xml:space="preserve"> len „výzva“) </w:t>
      </w:r>
      <w:r>
        <w:t>v gescii Ministerstva hospodárstva SR,</w:t>
      </w:r>
      <w:r w:rsidR="004D72FD">
        <w:t xml:space="preserve"> </w:t>
      </w:r>
      <w:r w:rsidR="002F00B6">
        <w:t xml:space="preserve">ak sa </w:t>
      </w:r>
      <w:r w:rsidR="002F00B6">
        <w:lastRenderedPageBreak/>
        <w:t>na tieto subjekty uplatňuje čl. 7 ods. 1 písm</w:t>
      </w:r>
      <w:r w:rsidR="003B01AE">
        <w:t>.</w:t>
      </w:r>
      <w:r w:rsidR="002F00B6">
        <w:t xml:space="preserve"> d) </w:t>
      </w:r>
      <w:r w:rsidR="00514315">
        <w:t>n</w:t>
      </w:r>
      <w:r w:rsidR="002F00B6">
        <w:t>ariadenia</w:t>
      </w:r>
      <w:r w:rsidR="002F00B6" w:rsidRPr="002F00B6">
        <w:t xml:space="preserve"> Európskeho parlamentu a Rady (EÚ) 2021/1058 z 24. júna 2021 o Európskom fonde regionálneho rozvoja a Kohéznom fonde</w:t>
      </w:r>
      <w:bookmarkStart w:id="1" w:name="_Ref166844494"/>
      <w:r w:rsidR="006D46AD">
        <w:t xml:space="preserve"> v platnom znení</w:t>
      </w:r>
      <w:r w:rsidR="009064EF">
        <w:rPr>
          <w:rStyle w:val="Odkaznapoznmkupodiarou"/>
        </w:rPr>
        <w:footnoteReference w:id="3"/>
      </w:r>
      <w:bookmarkEnd w:id="1"/>
      <w:r w:rsidR="007A440F">
        <w:t xml:space="preserve"> </w:t>
      </w:r>
      <w:r w:rsidR="006440DD">
        <w:t xml:space="preserve">alebo čl. </w:t>
      </w:r>
      <w:r w:rsidR="006440DD" w:rsidRPr="006440DD">
        <w:t>čl. 9 písm. c)</w:t>
      </w:r>
      <w:r w:rsidR="006440DD">
        <w:t xml:space="preserve"> </w:t>
      </w:r>
      <w:r w:rsidR="006440DD" w:rsidRPr="006440DD">
        <w:t xml:space="preserve"> </w:t>
      </w:r>
      <w:r w:rsidR="006440DD">
        <w:t>n</w:t>
      </w:r>
      <w:r w:rsidR="006440DD" w:rsidRPr="006440DD">
        <w:t>ariadenie Európskeho parlamentu a Rady (EÚ) 2021/1056 z 24. júna 2021</w:t>
      </w:r>
      <w:r w:rsidR="006440DD">
        <w:fldChar w:fldCharType="begin"/>
      </w:r>
      <w:r w:rsidR="006440DD">
        <w:instrText xml:space="preserve"> NOTEREF _Ref166844494 \f \h </w:instrText>
      </w:r>
      <w:r w:rsidR="006440DD">
        <w:fldChar w:fldCharType="separate"/>
      </w:r>
      <w:r w:rsidR="006440DD" w:rsidRPr="006440DD">
        <w:rPr>
          <w:rStyle w:val="Odkaznapoznmkupodiarou"/>
        </w:rPr>
        <w:t>1</w:t>
      </w:r>
      <w:r w:rsidR="006440DD">
        <w:fldChar w:fldCharType="end"/>
      </w:r>
      <w:r w:rsidR="006440DD" w:rsidRPr="006440DD">
        <w:t>, ktorým sa zriaďuje Fond na spravodlivú transformáciu</w:t>
      </w:r>
      <w:r w:rsidR="006D46AD">
        <w:t xml:space="preserve"> v platnom znení</w:t>
      </w:r>
      <w:r w:rsidR="006440DD" w:rsidRPr="006440DD">
        <w:t xml:space="preserve"> </w:t>
      </w:r>
      <w:r w:rsidR="007A440F">
        <w:t>a zároveň sa na ne neuplatňuje schéma štátnej pomoci resp. príslušná schéma štátnej pomoci neobsahuje metodiku na overovanie podniku v ťažkostiach</w:t>
      </w:r>
      <w:r>
        <w:t>.</w:t>
      </w:r>
    </w:p>
    <w:p w14:paraId="50445682" w14:textId="77777777" w:rsidR="009D7CBA" w:rsidRPr="00375341" w:rsidRDefault="009D7CBA" w:rsidP="00840806">
      <w:pPr>
        <w:pStyle w:val="Bezriadkovania"/>
      </w:pPr>
    </w:p>
    <w:p w14:paraId="1191160D" w14:textId="430610A9" w:rsidR="00840806" w:rsidRPr="00375341" w:rsidRDefault="0050072D" w:rsidP="00283CC8">
      <w:pPr>
        <w:pStyle w:val="Nadpis1"/>
      </w:pPr>
      <w:bookmarkStart w:id="2" w:name="_Definícia_podniku_v"/>
      <w:bookmarkStart w:id="3" w:name="_Toc131174976"/>
      <w:bookmarkStart w:id="4" w:name="_Ref136951431"/>
      <w:bookmarkStart w:id="5" w:name="_Ref146523278"/>
      <w:bookmarkEnd w:id="2"/>
      <w:r w:rsidRPr="00375341">
        <w:t>DEFINÍCIA PODNIKU V ŤAŽKOSTIACH</w:t>
      </w:r>
      <w:bookmarkEnd w:id="3"/>
      <w:bookmarkEnd w:id="4"/>
      <w:bookmarkEnd w:id="5"/>
    </w:p>
    <w:p w14:paraId="6F4CB184" w14:textId="77777777" w:rsidR="009D7CBA" w:rsidRPr="00375341" w:rsidRDefault="009D7CBA" w:rsidP="00840806">
      <w:pPr>
        <w:pStyle w:val="Bezriadkovania"/>
      </w:pPr>
    </w:p>
    <w:p w14:paraId="06079CA2" w14:textId="65AF4269" w:rsidR="00840806" w:rsidRPr="00375341" w:rsidRDefault="00E06969" w:rsidP="009E0CBB">
      <w:pPr>
        <w:pStyle w:val="Bezriadkovania"/>
        <w:spacing w:before="120" w:after="120"/>
      </w:pPr>
      <w:r>
        <w:t>Na</w:t>
      </w:r>
      <w:r w:rsidRPr="00375341">
        <w:t xml:space="preserve"> </w:t>
      </w:r>
      <w:r w:rsidR="00840806" w:rsidRPr="00375341">
        <w:t xml:space="preserve">účely tejto </w:t>
      </w:r>
      <w:r w:rsidR="00850EDC" w:rsidRPr="00375341">
        <w:t>metodiky</w:t>
      </w:r>
      <w:r w:rsidR="00840806" w:rsidRPr="00375341">
        <w:t xml:space="preserve"> je použitá definícia podniku v ťažkostiach podľa čl. 2 ods. 18 </w:t>
      </w:r>
      <w:r w:rsidR="0050072D" w:rsidRPr="00375341">
        <w:t xml:space="preserve">nariadenia </w:t>
      </w:r>
      <w:r w:rsidR="00443686" w:rsidRPr="00375341">
        <w:t xml:space="preserve">Komisie </w:t>
      </w:r>
      <w:r w:rsidR="0050072D" w:rsidRPr="00375341">
        <w:t>(EÚ) č. 651/2014</w:t>
      </w:r>
      <w:r w:rsidR="00443686" w:rsidRPr="00375341">
        <w:t xml:space="preserve"> o vyhlásení určitých kategórií pomoci za zlučiteľné s vnútorným trhom podľa článkov 107 a 108 zmluvy</w:t>
      </w:r>
      <w:r w:rsidR="00443686" w:rsidRPr="00375341">
        <w:rPr>
          <w:rStyle w:val="Odkaznapoznmkupodiarou"/>
        </w:rPr>
        <w:footnoteReference w:id="4"/>
      </w:r>
      <w:r w:rsidR="00443686" w:rsidRPr="00375341">
        <w:t xml:space="preserve"> v platnom znení (ďalej len „nariadenie (EÚ) č. 651/2014“)</w:t>
      </w:r>
      <w:r w:rsidR="00840806" w:rsidRPr="00375341">
        <w:t>, podľa ktorej podnik v ťažkostiach je podnik, v súvislosti s ktorým sa vyskytne aspoň jedna z týchto okolností (v ďalšom texte sa na jednotlivé body tohto zoznamu odkazuje ako na kritériá A – E, prípadne aj E.I a/alebo E.II, alebo spolu ako na kritériá):</w:t>
      </w:r>
    </w:p>
    <w:p w14:paraId="6D10B742" w14:textId="51534651" w:rsidR="00840806" w:rsidRPr="00375341" w:rsidRDefault="00840806" w:rsidP="009E0CBB">
      <w:pPr>
        <w:pStyle w:val="Bezriadkovania"/>
        <w:numPr>
          <w:ilvl w:val="0"/>
          <w:numId w:val="13"/>
        </w:numPr>
        <w:spacing w:before="120" w:after="120"/>
      </w:pPr>
      <w:r w:rsidRPr="00375341">
        <w:t xml:space="preserve">V prípade spoločnosti s ručením obmedzeným (inej ako MSP, ktorý existuje menej ako tri roky, alebo, na účely oprávnenosti na pomoc vo forme rizikového financovania, MSP </w:t>
      </w:r>
      <w:r w:rsidR="00517199" w:rsidRPr="00375341">
        <w:t xml:space="preserve">ktorý spĺňa podmienku uvedenú v článku 21 ods. 3 písm. b) a požiadavku rizikových finančných investícií </w:t>
      </w:r>
      <w:r w:rsidRPr="00375341">
        <w:t xml:space="preserve">v nadväznosti na hĺbkovú analýzu vykonanú vybratým finančným sprostredkovateľom), ak v dôsledku akumulovaných strát došlo k zániku viac ako polovice jej upísaného základného imania. Ide o prípad, keď odpočet akumulovaných strát od rezerv (a všetkých ostatných prvkov, ktoré sa vo všeobecnosti považujú za súčasť vlastných zdrojov spoločnosti) má za následok negatívnu kumulovanú sumu, ktorá presahuje polovicu upísaného základného imania. Na účely tohto ustanovenia „spoločnosť s ručením obmedzeným“ znamená najmä tie druhy spoločností, ktoré sú uvedené v prílohe I k smernici </w:t>
      </w:r>
      <w:r w:rsidR="00517199" w:rsidRPr="00375341">
        <w:t xml:space="preserve">Európskeho parlamentu a Rady </w:t>
      </w:r>
      <w:r w:rsidRPr="00375341">
        <w:t>2013/34/EÚ</w:t>
      </w:r>
      <w:bookmarkStart w:id="6" w:name="_Ref94870954"/>
      <w:r w:rsidRPr="00375341">
        <w:rPr>
          <w:rStyle w:val="Odkaznapoznmkupodiarou"/>
        </w:rPr>
        <w:footnoteReference w:id="5"/>
      </w:r>
      <w:bookmarkEnd w:id="6"/>
      <w:r w:rsidRPr="00375341">
        <w:t xml:space="preserve">, a „základné imanie“ zahŕňa, ak je to vhodné, akékoľvek emisné ážio. </w:t>
      </w:r>
    </w:p>
    <w:p w14:paraId="355358F6" w14:textId="7C9C660C" w:rsidR="00840806" w:rsidRPr="00375341" w:rsidRDefault="00840806" w:rsidP="009E0CBB">
      <w:pPr>
        <w:pStyle w:val="Bezriadkovania"/>
        <w:numPr>
          <w:ilvl w:val="0"/>
          <w:numId w:val="13"/>
        </w:numPr>
        <w:spacing w:before="120" w:after="120"/>
      </w:pPr>
      <w:r w:rsidRPr="00375341">
        <w:t xml:space="preserve">V prípade spoločnosti, v ktorej aspoň niektorí spoločníci majú neobmedzené ručenie za dlh spoločnosti (inej ako MSP, ktorý existuje menej ako tri roky, alebo, na účely oprávnenosti na pomoc vo forme rizikového financovania, MSP </w:t>
      </w:r>
      <w:r w:rsidR="000A5A19" w:rsidRPr="00375341">
        <w:t xml:space="preserve">ktorý spĺňa podmienku z článku 21 ods. 3 písm. b) a požiadavky rizikových finančných investícií </w:t>
      </w:r>
      <w:r w:rsidRPr="00375341">
        <w:t>v nadväznosti na hĺbkovú analýzu vykonanú vybratým finančným sprostredkovateľom), ak v dôsledku akumulovaných strát došlo k zániku viac ako polovice jej imania, ako je zaznamenané v účtovnej závierke spoločnosti. Na účely tohto ustanovenia „spoločnosť, v ktorej aspoň niektorí spoločníci majú neobmedzené ručenie za dlh spoločnosti“ znamená najmä tie druhy spoločností, ktoré sú uvedené v prílohe II k smernici 2013/34/EÚ</w:t>
      </w:r>
      <w:r w:rsidR="009D7CBA" w:rsidRPr="00375341">
        <w:fldChar w:fldCharType="begin"/>
      </w:r>
      <w:r w:rsidR="009D7CBA" w:rsidRPr="00375341">
        <w:instrText xml:space="preserve"> NOTEREF _Ref94870954 \f \h </w:instrText>
      </w:r>
      <w:r w:rsidR="00375341">
        <w:instrText xml:space="preserve"> \* MERGEFORMAT </w:instrText>
      </w:r>
      <w:r w:rsidR="009D7CBA" w:rsidRPr="00375341">
        <w:fldChar w:fldCharType="separate"/>
      </w:r>
      <w:r w:rsidR="002F00B6" w:rsidRPr="002F00B6">
        <w:rPr>
          <w:rStyle w:val="Odkaznapoznmkupodiarou"/>
        </w:rPr>
        <w:t>3</w:t>
      </w:r>
      <w:r w:rsidR="009D7CBA" w:rsidRPr="00375341">
        <w:fldChar w:fldCharType="end"/>
      </w:r>
      <w:r w:rsidRPr="00375341">
        <w:t>.</w:t>
      </w:r>
    </w:p>
    <w:p w14:paraId="5988A41E" w14:textId="77777777" w:rsidR="00840806" w:rsidRPr="00375341" w:rsidRDefault="00840806" w:rsidP="009E0CBB">
      <w:pPr>
        <w:pStyle w:val="Bezriadkovania"/>
        <w:numPr>
          <w:ilvl w:val="0"/>
          <w:numId w:val="13"/>
        </w:numPr>
        <w:spacing w:before="120" w:after="120"/>
      </w:pPr>
      <w:r w:rsidRPr="00375341">
        <w:t>Keď je podnik predmetom kolektívneho konkurzného konania alebo spĺňa kritériá domácich právnych predpisov na to, aby sa stal predmetom kolektívneho konkurzného konania na žiadosť svojich veriteľov.</w:t>
      </w:r>
    </w:p>
    <w:p w14:paraId="6A0CE910" w14:textId="77777777" w:rsidR="00840806" w:rsidRPr="00375341" w:rsidRDefault="00840806" w:rsidP="009E0CBB">
      <w:pPr>
        <w:pStyle w:val="Bezriadkovania"/>
        <w:numPr>
          <w:ilvl w:val="0"/>
          <w:numId w:val="13"/>
        </w:numPr>
        <w:spacing w:before="120" w:after="120"/>
      </w:pPr>
      <w:r w:rsidRPr="00375341">
        <w:t>Keď podnik dostal pomoc na záchranu a ešte neuhradil úver alebo nevypovedal záruku, alebo ak dostal pomoc na reštrukturalizáciu a stále podlieha reštrukturalizačnému plánu.</w:t>
      </w:r>
    </w:p>
    <w:p w14:paraId="0C5606AC" w14:textId="77777777" w:rsidR="00840806" w:rsidRPr="00375341" w:rsidRDefault="00840806" w:rsidP="009E0CBB">
      <w:pPr>
        <w:pStyle w:val="Bezriadkovania"/>
        <w:numPr>
          <w:ilvl w:val="0"/>
          <w:numId w:val="13"/>
        </w:numPr>
        <w:spacing w:before="120" w:after="120"/>
      </w:pPr>
      <w:r w:rsidRPr="00375341">
        <w:t>V prípade podniku, ktorý nie je MSP, keď za posledné dva roky:</w:t>
      </w:r>
    </w:p>
    <w:p w14:paraId="5B4AB1A0" w14:textId="77777777" w:rsidR="00840806" w:rsidRPr="00375341" w:rsidRDefault="00840806" w:rsidP="009E0CBB">
      <w:pPr>
        <w:pStyle w:val="Bezriadkovania"/>
        <w:numPr>
          <w:ilvl w:val="1"/>
          <w:numId w:val="14"/>
        </w:numPr>
        <w:spacing w:before="120" w:after="120"/>
      </w:pPr>
      <w:r w:rsidRPr="00375341">
        <w:lastRenderedPageBreak/>
        <w:t>účtovný pomer dlhu podniku k vlastnému kapitálu je vyšší než 7,5 a</w:t>
      </w:r>
    </w:p>
    <w:p w14:paraId="5B8D295B" w14:textId="77777777" w:rsidR="00840806" w:rsidRPr="00375341" w:rsidRDefault="00840806" w:rsidP="009E0CBB">
      <w:pPr>
        <w:pStyle w:val="Bezriadkovania"/>
        <w:numPr>
          <w:ilvl w:val="1"/>
          <w:numId w:val="14"/>
        </w:numPr>
        <w:spacing w:before="120" w:after="120"/>
      </w:pPr>
      <w:r w:rsidRPr="00375341">
        <w:t>pomer EBITDA podniku k úrokovému krytiu je nižší ako 1,0.</w:t>
      </w:r>
    </w:p>
    <w:p w14:paraId="2424B7A4" w14:textId="77777777" w:rsidR="009D7CBA" w:rsidRPr="00375341" w:rsidRDefault="009D7CBA" w:rsidP="00840806">
      <w:pPr>
        <w:pStyle w:val="Bezriadkovania"/>
      </w:pPr>
    </w:p>
    <w:p w14:paraId="0ED82333" w14:textId="39801428" w:rsidR="00840806" w:rsidRPr="00375341" w:rsidRDefault="0050072D" w:rsidP="00283CC8">
      <w:pPr>
        <w:pStyle w:val="Nadpis1"/>
      </w:pPr>
      <w:bookmarkStart w:id="7" w:name="_Posudzovanie_podniku_v"/>
      <w:bookmarkStart w:id="8" w:name="_Toc131174977"/>
      <w:bookmarkStart w:id="9" w:name="_Ref136951385"/>
      <w:bookmarkStart w:id="10" w:name="_Ref167082436"/>
      <w:bookmarkStart w:id="11" w:name="_Ref167083858"/>
      <w:bookmarkStart w:id="12" w:name="_Ref167083864"/>
      <w:bookmarkEnd w:id="7"/>
      <w:r w:rsidRPr="00375341">
        <w:t>POSUDZOVANIE PODNIKU V ŤAŽKOSTIACH</w:t>
      </w:r>
      <w:bookmarkEnd w:id="8"/>
      <w:bookmarkEnd w:id="9"/>
      <w:bookmarkEnd w:id="10"/>
      <w:bookmarkEnd w:id="11"/>
      <w:bookmarkEnd w:id="12"/>
    </w:p>
    <w:p w14:paraId="09355132" w14:textId="77777777" w:rsidR="0050072D" w:rsidRPr="00375341" w:rsidRDefault="0050072D" w:rsidP="0050072D">
      <w:pPr>
        <w:pStyle w:val="Bezriadkovania"/>
        <w:ind w:left="360"/>
        <w:rPr>
          <w:b/>
        </w:rPr>
      </w:pPr>
    </w:p>
    <w:p w14:paraId="14CB01AB" w14:textId="08D0A47A" w:rsidR="00840806" w:rsidRPr="00375341" w:rsidRDefault="00840806" w:rsidP="00840806">
      <w:pPr>
        <w:pStyle w:val="Bezriadkovania"/>
      </w:pPr>
      <w:r w:rsidRPr="00375341">
        <w:t>Podnik v ťažkostiach sa posudzuje podľa jednotlivých kritérií uvedených v</w:t>
      </w:r>
      <w:r w:rsidR="00836751" w:rsidRPr="00375341">
        <w:t> </w:t>
      </w:r>
      <w:r w:rsidR="0050072D" w:rsidRPr="00375341">
        <w:t>kapitole</w:t>
      </w:r>
      <w:r w:rsidR="00836751" w:rsidRPr="00375341">
        <w:t xml:space="preserve"> </w:t>
      </w:r>
      <w:r w:rsidR="00836751" w:rsidRPr="00375341">
        <w:fldChar w:fldCharType="begin"/>
      </w:r>
      <w:r w:rsidR="00836751" w:rsidRPr="00375341">
        <w:instrText xml:space="preserve"> REF _Ref136951431 \r \h </w:instrText>
      </w:r>
      <w:r w:rsidR="00375341">
        <w:instrText xml:space="preserve"> \* MERGEFORMAT </w:instrText>
      </w:r>
      <w:r w:rsidR="00836751" w:rsidRPr="00375341">
        <w:fldChar w:fldCharType="separate"/>
      </w:r>
      <w:r w:rsidR="002F00B6">
        <w:t>2</w:t>
      </w:r>
      <w:r w:rsidR="00836751" w:rsidRPr="00375341">
        <w:fldChar w:fldCharType="end"/>
      </w:r>
      <w:r w:rsidRPr="00375341">
        <w:t xml:space="preserve">. </w:t>
      </w:r>
      <w:r w:rsidR="00850EDC" w:rsidRPr="00375341">
        <w:t>tejto metodiky.</w:t>
      </w:r>
    </w:p>
    <w:p w14:paraId="3305252E" w14:textId="77777777" w:rsidR="0050072D" w:rsidRPr="00375341" w:rsidRDefault="0050072D" w:rsidP="00840806">
      <w:pPr>
        <w:pStyle w:val="Bezriadkovania"/>
      </w:pPr>
    </w:p>
    <w:p w14:paraId="4B0BC20E" w14:textId="2BD50F03" w:rsidR="00840806" w:rsidRPr="00375341" w:rsidRDefault="00E06969" w:rsidP="00840806">
      <w:pPr>
        <w:pStyle w:val="Bezriadkovania"/>
        <w:rPr>
          <w:b/>
        </w:rPr>
      </w:pPr>
      <w:r>
        <w:rPr>
          <w:b/>
        </w:rPr>
        <w:t>Subjekt, ktorý je p</w:t>
      </w:r>
      <w:r w:rsidR="00840806" w:rsidRPr="00375341">
        <w:rPr>
          <w:b/>
        </w:rPr>
        <w:t>odnik</w:t>
      </w:r>
      <w:r>
        <w:rPr>
          <w:b/>
        </w:rPr>
        <w:t>om</w:t>
      </w:r>
      <w:r>
        <w:rPr>
          <w:rStyle w:val="Odkaznapoznmkupodiarou"/>
          <w:b/>
        </w:rPr>
        <w:footnoteReference w:id="6"/>
      </w:r>
      <w:r w:rsidR="00840806" w:rsidRPr="00375341">
        <w:rPr>
          <w:b/>
        </w:rPr>
        <w:t xml:space="preserve"> sa považuje za podnik v ťažkostiach, ak je ako podnik v ťažkostiach vyhodnotený aspoň v jednom z tých kritérií</w:t>
      </w:r>
      <w:r>
        <w:rPr>
          <w:b/>
        </w:rPr>
        <w:t>, ktoré sa na neho vzťahujú</w:t>
      </w:r>
      <w:r w:rsidR="00840806" w:rsidRPr="00375341">
        <w:rPr>
          <w:b/>
        </w:rPr>
        <w:t>.</w:t>
      </w:r>
    </w:p>
    <w:p w14:paraId="1174523B" w14:textId="77777777" w:rsidR="0050072D" w:rsidRPr="00375341" w:rsidRDefault="0050072D" w:rsidP="00840806">
      <w:pPr>
        <w:pStyle w:val="Bezriadkovania"/>
      </w:pPr>
    </w:p>
    <w:p w14:paraId="1D207120" w14:textId="14A3DF88" w:rsidR="00840806" w:rsidRPr="00375341" w:rsidRDefault="00840806" w:rsidP="00283CC8">
      <w:pPr>
        <w:pStyle w:val="Bezriadkovania"/>
      </w:pPr>
      <w:r w:rsidRPr="00375341">
        <w:t xml:space="preserve">Kritériá A, B a E sa posudzujú za príslušné referenčné obdobie. </w:t>
      </w:r>
    </w:p>
    <w:p w14:paraId="6DC31110" w14:textId="77777777" w:rsidR="0050072D" w:rsidRPr="00375341" w:rsidRDefault="0050072D" w:rsidP="00840806">
      <w:pPr>
        <w:pStyle w:val="Bezriadkovania"/>
      </w:pPr>
    </w:p>
    <w:p w14:paraId="00A08A88" w14:textId="77777777" w:rsidR="00840806" w:rsidRPr="00375341" w:rsidRDefault="00840806" w:rsidP="00840806">
      <w:pPr>
        <w:pStyle w:val="Bezriadkovania"/>
      </w:pPr>
      <w:r w:rsidRPr="00375341">
        <w:t>Pri určovaní referenčného obdobia sa:</w:t>
      </w:r>
    </w:p>
    <w:p w14:paraId="29EF35D6" w14:textId="27ADA8DA" w:rsidR="00840806" w:rsidRPr="00375341" w:rsidRDefault="00840806" w:rsidP="0050072D">
      <w:pPr>
        <w:pStyle w:val="Bezriadkovania"/>
        <w:numPr>
          <w:ilvl w:val="0"/>
          <w:numId w:val="16"/>
        </w:numPr>
      </w:pPr>
      <w:r w:rsidRPr="00375341">
        <w:t>v prípade subjektov, ktoré sú účtovnou</w:t>
      </w:r>
      <w:bookmarkStart w:id="13" w:name="_Ref94273267"/>
      <w:r w:rsidRPr="00375341">
        <w:t xml:space="preserve"> jednotkou</w:t>
      </w:r>
      <w:bookmarkStart w:id="14" w:name="_Ref94522101"/>
      <w:r w:rsidRPr="00375341">
        <w:rPr>
          <w:rStyle w:val="Odkaznapoznmkupodiarou"/>
        </w:rPr>
        <w:footnoteReference w:id="7"/>
      </w:r>
      <w:bookmarkEnd w:id="13"/>
      <w:bookmarkEnd w:id="14"/>
      <w:r w:rsidRPr="00375341">
        <w:rPr>
          <w:rStyle w:val="Odkaznapoznmkupodiarou"/>
        </w:rPr>
        <w:t xml:space="preserve"> </w:t>
      </w:r>
      <w:r w:rsidRPr="00375341">
        <w:t>používajú účtovné obdobia</w:t>
      </w:r>
      <w:r w:rsidR="0050072D" w:rsidRPr="00375341">
        <w:fldChar w:fldCharType="begin"/>
      </w:r>
      <w:r w:rsidR="0050072D" w:rsidRPr="00375341">
        <w:instrText xml:space="preserve"> NOTEREF _Ref94522101 \f \h </w:instrText>
      </w:r>
      <w:r w:rsidR="00375341">
        <w:instrText xml:space="preserve"> \* MERGEFORMAT </w:instrText>
      </w:r>
      <w:r w:rsidR="0050072D" w:rsidRPr="00375341">
        <w:fldChar w:fldCharType="separate"/>
      </w:r>
      <w:r w:rsidR="00B24F15" w:rsidRPr="003E4922">
        <w:rPr>
          <w:rStyle w:val="Odkaznapoznmkupodiarou"/>
        </w:rPr>
        <w:t>6</w:t>
      </w:r>
      <w:r w:rsidR="0050072D" w:rsidRPr="00375341">
        <w:fldChar w:fldCharType="end"/>
      </w:r>
      <w:r w:rsidRPr="00375341">
        <w:t xml:space="preserve"> a </w:t>
      </w:r>
    </w:p>
    <w:p w14:paraId="58F10F95" w14:textId="77777777" w:rsidR="00840806" w:rsidRPr="00375341" w:rsidRDefault="00840806" w:rsidP="0050072D">
      <w:pPr>
        <w:pStyle w:val="Bezriadkovania"/>
        <w:numPr>
          <w:ilvl w:val="0"/>
          <w:numId w:val="16"/>
        </w:numPr>
      </w:pPr>
      <w:r w:rsidRPr="00375341">
        <w:t>v prípade subjektov, ktoré nie sú účtovnou jednotkou, používajú zdaňovacie obdobia</w:t>
      </w:r>
      <w:r w:rsidRPr="00375341">
        <w:rPr>
          <w:rStyle w:val="Odkaznapoznmkupodiarou"/>
        </w:rPr>
        <w:footnoteReference w:id="8"/>
      </w:r>
      <w:r w:rsidRPr="00375341">
        <w:t xml:space="preserve">. </w:t>
      </w:r>
    </w:p>
    <w:p w14:paraId="513DEED4" w14:textId="77777777" w:rsidR="0050072D" w:rsidRPr="00375341" w:rsidRDefault="0050072D" w:rsidP="00840806">
      <w:pPr>
        <w:pStyle w:val="Bezriadkovania"/>
      </w:pPr>
    </w:p>
    <w:p w14:paraId="32EFBF5A" w14:textId="4B81E513" w:rsidR="00840806" w:rsidRPr="00375341" w:rsidRDefault="00840806" w:rsidP="009E0CBB">
      <w:pPr>
        <w:pStyle w:val="Bezriadkovania"/>
        <w:spacing w:before="120" w:after="120"/>
      </w:pPr>
      <w:r w:rsidRPr="00375341">
        <w:t>Referenčné obdobie je :</w:t>
      </w:r>
    </w:p>
    <w:p w14:paraId="328CB75D" w14:textId="3D55DAFF" w:rsidR="00840806" w:rsidRPr="00375341" w:rsidRDefault="00840806" w:rsidP="009E0CBB">
      <w:pPr>
        <w:pStyle w:val="Bezriadkovania"/>
        <w:numPr>
          <w:ilvl w:val="0"/>
          <w:numId w:val="17"/>
        </w:numPr>
        <w:spacing w:before="120" w:after="120"/>
      </w:pPr>
      <w:r w:rsidRPr="00375341">
        <w:t xml:space="preserve">posledné účtovné obdobie predchádzajúce </w:t>
      </w:r>
      <w:r w:rsidR="009C3403" w:rsidRPr="00375341">
        <w:t>rozhodnému momentu</w:t>
      </w:r>
      <w:r w:rsidRPr="00375341">
        <w:t>, za ktoré disponuje subjekt schválenou účtovnou závierkou (ďalej aj „bežné referenčné obdobie“) a účtovné obdobie predchádzajúce bežnému referenčnému obdobiu (ďalej aj „predchádzajúce referenčné obdobie“), ak ide o subjekt, ktorý je účtovnou jednotkou, alebo</w:t>
      </w:r>
    </w:p>
    <w:p w14:paraId="5B633231" w14:textId="37F9C78A" w:rsidR="00840806" w:rsidRPr="00375341" w:rsidRDefault="00840806" w:rsidP="009E0CBB">
      <w:pPr>
        <w:pStyle w:val="Bezriadkovania"/>
        <w:numPr>
          <w:ilvl w:val="0"/>
          <w:numId w:val="17"/>
        </w:numPr>
        <w:spacing w:before="120" w:after="120"/>
      </w:pPr>
      <w:r w:rsidRPr="00375341">
        <w:t>posledné zdaňovacie obdobie pr</w:t>
      </w:r>
      <w:r w:rsidR="009C3403" w:rsidRPr="00375341">
        <w:t>edchádzajúce rozhodnému momentu</w:t>
      </w:r>
      <w:r w:rsidRPr="00375341">
        <w:t>, za ktoré subjekt predložil daňovému úradu daňové priznanie (ďalej aj „bežné referenčné obdobie“) a zdaňovacie obdobie predchádzajúce bežnému referenčnému obdobiu (ďalej aj „predchádzajúce referenčné obdobie“), ak ide o subjekt, ktorý nie je účtovnou jednotkou.</w:t>
      </w:r>
    </w:p>
    <w:p w14:paraId="0919FC8B" w14:textId="77777777" w:rsidR="009C3403" w:rsidRPr="00375341" w:rsidRDefault="009C3403" w:rsidP="009C3403">
      <w:pPr>
        <w:pStyle w:val="Bezriadkovania"/>
      </w:pPr>
    </w:p>
    <w:p w14:paraId="2D689B80" w14:textId="77777777" w:rsidR="00E06969" w:rsidRDefault="009C3403" w:rsidP="009C3403">
      <w:pPr>
        <w:pStyle w:val="Bezriadkovania"/>
      </w:pPr>
      <w:r w:rsidRPr="00E06969">
        <w:t>Rozhodný moment</w:t>
      </w:r>
      <w:r w:rsidRPr="00375341">
        <w:t xml:space="preserve"> sa určuje v závislosti od procesnej fázy, </w:t>
      </w:r>
      <w:r w:rsidR="00B52A9B" w:rsidRPr="00375341">
        <w:t xml:space="preserve">v </w:t>
      </w:r>
      <w:r w:rsidRPr="00375341">
        <w:t xml:space="preserve">ktorej sa overenie vykonáva (bližšie k mechanizmu overenia pozri kapitolu </w:t>
      </w:r>
      <w:r w:rsidR="00B52A9B" w:rsidRPr="004D72FD">
        <w:fldChar w:fldCharType="begin"/>
      </w:r>
      <w:r w:rsidR="00B52A9B" w:rsidRPr="004D72FD">
        <w:instrText xml:space="preserve"> REF _Ref146523229 \r \h </w:instrText>
      </w:r>
      <w:r w:rsidR="00EA0F35" w:rsidRPr="004D72FD">
        <w:instrText xml:space="preserve"> \* MERGEFORMAT </w:instrText>
      </w:r>
      <w:r w:rsidR="00B52A9B" w:rsidRPr="004D72FD">
        <w:fldChar w:fldCharType="separate"/>
      </w:r>
      <w:r w:rsidR="002F00B6">
        <w:t>6</w:t>
      </w:r>
      <w:r w:rsidR="00B52A9B" w:rsidRPr="004D72FD">
        <w:fldChar w:fldCharType="end"/>
      </w:r>
      <w:r w:rsidRPr="004D72FD">
        <w:t>).</w:t>
      </w:r>
      <w:r w:rsidRPr="00375341">
        <w:t xml:space="preserve"> </w:t>
      </w:r>
    </w:p>
    <w:p w14:paraId="6D09E3C8" w14:textId="77777777" w:rsidR="00E06969" w:rsidRDefault="00E06969" w:rsidP="009C3403">
      <w:pPr>
        <w:pStyle w:val="Bezriadkovania"/>
      </w:pPr>
    </w:p>
    <w:p w14:paraId="466A53D0" w14:textId="613C9AC2" w:rsidR="009C3403" w:rsidRPr="00375341" w:rsidRDefault="009C3403" w:rsidP="009C3403">
      <w:pPr>
        <w:pStyle w:val="Bezriadkovania"/>
      </w:pPr>
      <w:r w:rsidRPr="00E06969">
        <w:t>Rozhodný moment pre overenie k momentu poskytnutia pomoci je</w:t>
      </w:r>
      <w:r w:rsidRPr="00375341">
        <w:t>:</w:t>
      </w:r>
    </w:p>
    <w:p w14:paraId="6D87E79F" w14:textId="4C3386F7" w:rsidR="003E26A9" w:rsidRDefault="009C3403" w:rsidP="009C3403">
      <w:pPr>
        <w:pStyle w:val="Bezriadkovania"/>
        <w:numPr>
          <w:ilvl w:val="0"/>
          <w:numId w:val="28"/>
        </w:numPr>
      </w:pPr>
      <w:r w:rsidRPr="00375341">
        <w:t xml:space="preserve">deň nadobudnutia účinnosti zmluvy o poskytnutí </w:t>
      </w:r>
      <w:r w:rsidR="00E06969" w:rsidRPr="000D1551">
        <w:rPr>
          <w:rFonts w:cstheme="minorHAnsi"/>
        </w:rPr>
        <w:t>nenávratného finančného príspevku (ďalej len „</w:t>
      </w:r>
      <w:r w:rsidR="00E06969" w:rsidRPr="00E06969">
        <w:rPr>
          <w:rFonts w:cstheme="minorHAnsi"/>
          <w:iCs/>
        </w:rPr>
        <w:t>zmluva o poskytnutí NFP</w:t>
      </w:r>
      <w:r w:rsidR="00E06969" w:rsidRPr="000D1551">
        <w:rPr>
          <w:rFonts w:cstheme="minorHAnsi"/>
        </w:rPr>
        <w:t>“),</w:t>
      </w:r>
      <w:r w:rsidR="003E26A9">
        <w:t>,</w:t>
      </w:r>
    </w:p>
    <w:p w14:paraId="250D5760" w14:textId="77777777" w:rsidR="00B24F15" w:rsidRDefault="003E26A9" w:rsidP="009C3403">
      <w:pPr>
        <w:pStyle w:val="Bezriadkovania"/>
        <w:numPr>
          <w:ilvl w:val="0"/>
          <w:numId w:val="28"/>
        </w:numPr>
      </w:pPr>
      <w:r>
        <w:t>deň nadobudnutia účinnosti príslušného dodatku k zmluve o poskytnutí NFP vo vzťahu k novému partnerovi</w:t>
      </w:r>
      <w:r w:rsidR="00B24F15">
        <w:t>;</w:t>
      </w:r>
    </w:p>
    <w:p w14:paraId="06CB73D3" w14:textId="77777777" w:rsidR="00B24F15" w:rsidRDefault="00B24F15" w:rsidP="00B24F15">
      <w:pPr>
        <w:pStyle w:val="Bezriadkovania"/>
        <w:numPr>
          <w:ilvl w:val="0"/>
          <w:numId w:val="28"/>
        </w:numPr>
      </w:pPr>
      <w:r w:rsidRPr="00B24F15">
        <w:t>deň nadobudnutia účinnosti zmluvy alebo vzniku iného obdobného právneho vzťahu podľa § 3 písm. u) zákona o príspevkoch z fondov EÚ vo vzťahu k</w:t>
      </w:r>
      <w:r>
        <w:t> </w:t>
      </w:r>
      <w:r w:rsidRPr="00B24F15">
        <w:t>užívateľovi</w:t>
      </w:r>
      <w:r>
        <w:t>;</w:t>
      </w:r>
    </w:p>
    <w:p w14:paraId="781E26A1" w14:textId="44F1C483" w:rsidR="009C3403" w:rsidRDefault="00B24F15" w:rsidP="00B24F15">
      <w:pPr>
        <w:pStyle w:val="Bezriadkovania"/>
        <w:numPr>
          <w:ilvl w:val="0"/>
          <w:numId w:val="28"/>
        </w:numPr>
      </w:pPr>
      <w:r w:rsidRPr="00B24F15">
        <w:t>ak nemožno uplatniť ani jeden z momentov podľa predchádzajúcich bodov, rozhodným momentom je deň</w:t>
      </w:r>
      <w:r>
        <w:t>, ktorý možno považovať za ekvivalent dňa</w:t>
      </w:r>
      <w:r w:rsidRPr="00B24F15">
        <w:t xml:space="preserve"> poskytnutia pomoc</w:t>
      </w:r>
      <w:r>
        <w:t>i podľa zákona o štátnej pomoci</w:t>
      </w:r>
      <w:r>
        <w:rPr>
          <w:rStyle w:val="Odkaznapoznmkupodiarou"/>
        </w:rPr>
        <w:footnoteReference w:id="9"/>
      </w:r>
      <w:r w:rsidR="009C3403" w:rsidRPr="00375341">
        <w:t>.</w:t>
      </w:r>
    </w:p>
    <w:p w14:paraId="53BC2343" w14:textId="77777777" w:rsidR="00B65CF0" w:rsidRPr="00375341" w:rsidRDefault="00B65CF0" w:rsidP="00B65CF0">
      <w:pPr>
        <w:pStyle w:val="Bezriadkovania"/>
        <w:ind w:left="720"/>
      </w:pPr>
    </w:p>
    <w:p w14:paraId="37BCE70C" w14:textId="3BDD6CCC" w:rsidR="009C3403" w:rsidRPr="00375341" w:rsidRDefault="007D6FFC" w:rsidP="009C3403">
      <w:pPr>
        <w:pStyle w:val="Bezriadkovania"/>
      </w:pPr>
      <w:r>
        <w:t>R</w:t>
      </w:r>
      <w:r w:rsidR="009C3403" w:rsidRPr="00375341">
        <w:t>ozhodným moment</w:t>
      </w:r>
      <w:r>
        <w:t xml:space="preserve">om pre účely čestného vyhlásenia podľa kapitoly </w:t>
      </w:r>
      <w:r w:rsidR="00B24F15">
        <w:fldChar w:fldCharType="begin"/>
      </w:r>
      <w:r w:rsidR="00B24F15">
        <w:instrText xml:space="preserve"> REF _Ref167086828 \r \h </w:instrText>
      </w:r>
      <w:r w:rsidR="00B24F15">
        <w:fldChar w:fldCharType="separate"/>
      </w:r>
      <w:r w:rsidR="00B24F15">
        <w:t>6.2</w:t>
      </w:r>
      <w:r w:rsidR="00B24F15">
        <w:fldChar w:fldCharType="end"/>
      </w:r>
      <w:r>
        <w:t xml:space="preserve"> je</w:t>
      </w:r>
      <w:r w:rsidR="009C3403" w:rsidRPr="00375341">
        <w:t xml:space="preserve"> :</w:t>
      </w:r>
    </w:p>
    <w:p w14:paraId="306851DF" w14:textId="02A5D3DA" w:rsidR="009C3403" w:rsidRDefault="009C3403" w:rsidP="00B65CF0">
      <w:pPr>
        <w:pStyle w:val="Bezriadkovania"/>
        <w:numPr>
          <w:ilvl w:val="0"/>
          <w:numId w:val="28"/>
        </w:numPr>
      </w:pPr>
      <w:r w:rsidRPr="00375341">
        <w:lastRenderedPageBreak/>
        <w:t>deň poskytnutia súčinnosti podľa § 22 ods. 3 zákona o príspevkoch z fondov EÚ,</w:t>
      </w:r>
      <w:r w:rsidR="00B65CF0" w:rsidRPr="00B65CF0">
        <w:t xml:space="preserve"> </w:t>
      </w:r>
    </w:p>
    <w:p w14:paraId="1D2586FE" w14:textId="77777777" w:rsidR="00B24F15" w:rsidRDefault="00F95BFE" w:rsidP="007D6FFC">
      <w:pPr>
        <w:pStyle w:val="Bezriadkovania"/>
        <w:numPr>
          <w:ilvl w:val="0"/>
          <w:numId w:val="28"/>
        </w:numPr>
      </w:pPr>
      <w:r>
        <w:t>deň predloženia žiadosti o zmenu zmluvy o poskytnutí NF</w:t>
      </w:r>
      <w:r w:rsidR="007D6FFC">
        <w:t>P vo vzťahu k novému partnerovi</w:t>
      </w:r>
      <w:r w:rsidR="00B24F15">
        <w:t>;</w:t>
      </w:r>
    </w:p>
    <w:p w14:paraId="54FF2CDD" w14:textId="77777777" w:rsidR="00B24F15" w:rsidRDefault="00B24F15" w:rsidP="00B24F15">
      <w:pPr>
        <w:pStyle w:val="Bezriadkovania"/>
        <w:numPr>
          <w:ilvl w:val="0"/>
          <w:numId w:val="28"/>
        </w:numPr>
      </w:pPr>
      <w:r w:rsidRPr="00B24F15">
        <w:t>vo vzťahu k užívateľovi deň, ktorý vyplýva z príslušnej výzvy alebo z riadiacej dokumentácie k nastaveniu implementačnej štruktúry zahŕňajúcej užívateľa, pričom tento deň musí predchádzať uzavretiu zmluvy alebo založeniu iného obdobného právneho vzťahu podľa § 3 písm. u) zákona o príspevkoch z fondov EÚ</w:t>
      </w:r>
      <w:r>
        <w:t>;</w:t>
      </w:r>
    </w:p>
    <w:p w14:paraId="2D19A244" w14:textId="629CB7B5" w:rsidR="009C3403" w:rsidRPr="00375341" w:rsidRDefault="00B24F15" w:rsidP="00B24F15">
      <w:pPr>
        <w:pStyle w:val="Bezriadkovania"/>
        <w:numPr>
          <w:ilvl w:val="0"/>
          <w:numId w:val="28"/>
        </w:numPr>
      </w:pPr>
      <w:r w:rsidRPr="00B24F15">
        <w:t>ak nemožno uplatniť ani jeden z momentov podľa predchádzajúcich bodo</w:t>
      </w:r>
      <w:r>
        <w:t>v, rozhodný moment poskytovateľ</w:t>
      </w:r>
      <w:r w:rsidRPr="00B24F15">
        <w:t xml:space="preserve"> určí v súlade s postupmi uvedenými v časti </w:t>
      </w:r>
      <w:r>
        <w:fldChar w:fldCharType="begin"/>
      </w:r>
      <w:r>
        <w:instrText xml:space="preserve"> REF _Ref146523229 \r \h </w:instrText>
      </w:r>
      <w:r>
        <w:fldChar w:fldCharType="separate"/>
      </w:r>
      <w:r>
        <w:t>6</w:t>
      </w:r>
      <w:r>
        <w:fldChar w:fldCharType="end"/>
      </w:r>
      <w:r w:rsidRPr="00B24F15">
        <w:t xml:space="preserve"> tejto metodiky a prílohou č. 7 vzoru audit </w:t>
      </w:r>
      <w:proofErr w:type="spellStart"/>
      <w:r w:rsidRPr="00B24F15">
        <w:t>trailu</w:t>
      </w:r>
      <w:proofErr w:type="spellEnd"/>
      <w:r w:rsidR="00256662">
        <w:rPr>
          <w:rStyle w:val="Odkaznapoznmkupodiarou"/>
        </w:rPr>
        <w:footnoteReference w:id="10"/>
      </w:r>
      <w:r w:rsidRPr="00B24F15">
        <w:t xml:space="preserve"> tak, aby boli rešpektované špecifiká príslušnej výzvy alebo organizácie dotknutých procesov, prípadne čestné vyhlásenie sa nebude vôbec aplikovať, ak je subjekt výlučne v postavení príjemcu štátnej pomoci (napr. pri nepriamej pomoci)</w:t>
      </w:r>
      <w:r w:rsidR="009C3403" w:rsidRPr="00375341">
        <w:t>.</w:t>
      </w:r>
    </w:p>
    <w:p w14:paraId="12341129" w14:textId="0EB61872" w:rsidR="006F581E" w:rsidRDefault="006F581E" w:rsidP="00840806">
      <w:pPr>
        <w:pStyle w:val="Bezriadkovania"/>
      </w:pPr>
    </w:p>
    <w:p w14:paraId="07895F9D" w14:textId="2ACE2D43" w:rsidR="00840806" w:rsidRPr="00375341" w:rsidRDefault="00840806" w:rsidP="00C656F8">
      <w:pPr>
        <w:pStyle w:val="Bezriadkovania"/>
        <w:spacing w:before="120" w:after="120"/>
      </w:pPr>
      <w:r w:rsidRPr="00375341">
        <w:t xml:space="preserve">Schválenou účtovnou závierkou </w:t>
      </w:r>
      <w:r w:rsidR="006F581E" w:rsidRPr="00375341">
        <w:t xml:space="preserve">je </w:t>
      </w:r>
      <w:r w:rsidRPr="00375341">
        <w:t>pre účely</w:t>
      </w:r>
      <w:r w:rsidR="008259BC">
        <w:t xml:space="preserve"> tejto metodiky</w:t>
      </w:r>
      <w:r w:rsidRPr="00375341">
        <w:t>:</w:t>
      </w:r>
    </w:p>
    <w:p w14:paraId="3C25CD65" w14:textId="42AB3323" w:rsidR="00840806" w:rsidRPr="00375341" w:rsidRDefault="00840806" w:rsidP="00C656F8">
      <w:pPr>
        <w:pStyle w:val="Bezriadkovania"/>
        <w:numPr>
          <w:ilvl w:val="0"/>
          <w:numId w:val="18"/>
        </w:numPr>
        <w:spacing w:before="120" w:after="120"/>
      </w:pPr>
      <w:r w:rsidRPr="00375341">
        <w:t xml:space="preserve">v prípade subjektu, ktorý má povinnosť schvaľovať účtovnú závierku, </w:t>
      </w:r>
      <w:r w:rsidR="00DE5E5E">
        <w:t>riadna alebo mimoriadna</w:t>
      </w:r>
      <w:bookmarkStart w:id="15" w:name="_Ref150505519"/>
      <w:r w:rsidR="00DE5E5E">
        <w:rPr>
          <w:rStyle w:val="Odkaznapoznmkupodiarou"/>
        </w:rPr>
        <w:footnoteReference w:id="11"/>
      </w:r>
      <w:bookmarkEnd w:id="15"/>
      <w:r w:rsidR="00DE5E5E">
        <w:t xml:space="preserve"> </w:t>
      </w:r>
      <w:r w:rsidRPr="00375341">
        <w:t>účtovná závierka</w:t>
      </w:r>
      <w:r w:rsidR="00DE5E5E">
        <w:t>, ktorá bola najneskôr k rozhodnému momentu</w:t>
      </w:r>
      <w:r w:rsidRPr="00375341">
        <w:t xml:space="preserve"> schválená príslušným orgánom subjektu a uložená v registri účtovných závierok. Ak je takýchto účtovných závierok za účtovné obdobie viac, za schválenú účtovnú závierku </w:t>
      </w:r>
      <w:r w:rsidR="008259BC">
        <w:t>na</w:t>
      </w:r>
      <w:r w:rsidR="008259BC" w:rsidRPr="00375341">
        <w:t xml:space="preserve"> </w:t>
      </w:r>
      <w:r w:rsidRPr="00375341">
        <w:t xml:space="preserve">účely </w:t>
      </w:r>
      <w:r w:rsidR="00290B26" w:rsidRPr="00375341">
        <w:t>tejto metodiky</w:t>
      </w:r>
      <w:r w:rsidRPr="00375341">
        <w:t xml:space="preserve"> sa považuje tá, ktorá bola </w:t>
      </w:r>
      <w:r w:rsidR="008259BC">
        <w:rPr>
          <w:rFonts w:cstheme="minorHAnsi"/>
        </w:rPr>
        <w:t xml:space="preserve">zo všetkých uložených účtovných závierok subjektu </w:t>
      </w:r>
      <w:r w:rsidRPr="00375341">
        <w:t xml:space="preserve">schválená prvá. Ak nie je možné určiť, ktorá bola schválená prvá, bude </w:t>
      </w:r>
      <w:r w:rsidR="00E34FB7">
        <w:t>subjekt</w:t>
      </w:r>
      <w:r w:rsidRPr="00375341">
        <w:t xml:space="preserve"> vyzvaný na vysvetlenie. Ak subjekt ešte nemá žiadnu účtovnú závierku schválenú príslušným orgánom subjektu a neuplynula ešte zákonná lehota na schválenie žiadnej účtovnej závierky, postupuje sa pri ňom, ako v prípade subjektu, ktorý nemá povinnosť schvaľovať účtovnú závierku;  </w:t>
      </w:r>
    </w:p>
    <w:p w14:paraId="114580D9" w14:textId="6CE91EA4" w:rsidR="00840806" w:rsidRPr="00375341" w:rsidRDefault="00840806" w:rsidP="00C656F8">
      <w:pPr>
        <w:pStyle w:val="Bezriadkovania"/>
        <w:numPr>
          <w:ilvl w:val="0"/>
          <w:numId w:val="18"/>
        </w:numPr>
        <w:spacing w:before="120" w:after="120"/>
      </w:pPr>
      <w:r w:rsidRPr="00375341">
        <w:t xml:space="preserve">v prípade subjektu, ktorý nemá povinnosť schvaľovať účtovnú závierku, </w:t>
      </w:r>
      <w:r w:rsidR="00DE5E5E">
        <w:t>riadna alebo mimoriadna</w:t>
      </w:r>
      <w:r w:rsidR="00DE5E5E">
        <w:fldChar w:fldCharType="begin"/>
      </w:r>
      <w:r w:rsidR="00DE5E5E">
        <w:instrText xml:space="preserve"> NOTEREF _Ref150505519 \f \h </w:instrText>
      </w:r>
      <w:r w:rsidR="00DE5E5E">
        <w:fldChar w:fldCharType="separate"/>
      </w:r>
      <w:r w:rsidR="002F00B6" w:rsidRPr="002F00B6">
        <w:rPr>
          <w:rStyle w:val="Odkaznapoznmkupodiarou"/>
        </w:rPr>
        <w:t>6</w:t>
      </w:r>
      <w:r w:rsidR="00DE5E5E">
        <w:fldChar w:fldCharType="end"/>
      </w:r>
      <w:r w:rsidR="00DE5E5E">
        <w:t xml:space="preserve"> </w:t>
      </w:r>
      <w:r w:rsidRPr="00375341">
        <w:t>účtovná závierka</w:t>
      </w:r>
      <w:r w:rsidR="00DE5E5E">
        <w:t>, ktorá bola najneskôr k rozhodnému momentu</w:t>
      </w:r>
      <w:r w:rsidRPr="00375341">
        <w:t xml:space="preserve"> uložená v registri účtovných závierok. Ak je takýchto účtovných závierok za účtovné obdobie viac, za schválenú účtovnú závierku pre účely </w:t>
      </w:r>
      <w:r w:rsidR="00290B26" w:rsidRPr="00375341">
        <w:t>tejto metodiky</w:t>
      </w:r>
      <w:r w:rsidRPr="00375341">
        <w:t xml:space="preserve"> sa považuje tá, ktorá bola zostavená </w:t>
      </w:r>
      <w:r w:rsidR="008259BC">
        <w:t>prvá</w:t>
      </w:r>
      <w:r w:rsidRPr="00375341">
        <w:t xml:space="preserve">. Ak nie je možné určiť, ktorá bola zostavená </w:t>
      </w:r>
      <w:r w:rsidR="008259BC">
        <w:t>prvá</w:t>
      </w:r>
      <w:r w:rsidRPr="00375341">
        <w:t xml:space="preserve">, bude </w:t>
      </w:r>
      <w:r w:rsidR="00E34FB7">
        <w:t>subjekt</w:t>
      </w:r>
      <w:r w:rsidRPr="00375341">
        <w:t xml:space="preserve"> vyzvaný na vysvetlenie.</w:t>
      </w:r>
    </w:p>
    <w:p w14:paraId="4D648B76" w14:textId="77777777" w:rsidR="006F581E" w:rsidRPr="00375341" w:rsidRDefault="006F581E" w:rsidP="00840806">
      <w:pPr>
        <w:pStyle w:val="Bezriadkovania"/>
      </w:pPr>
    </w:p>
    <w:p w14:paraId="326CC08D" w14:textId="4E639814" w:rsidR="00840806" w:rsidRDefault="00840806" w:rsidP="00840806">
      <w:pPr>
        <w:pStyle w:val="Bezriadkovania"/>
      </w:pPr>
      <w:r w:rsidRPr="00375341">
        <w:t>Ak subjekt, ktorý nie je účtovnou jednotkou, predložil za referenčné obdobie daňovému úradu opravné daňové priznanie a/alebo dodatočné daňové priznanie, vychádza sa pri hodnotení podniku v ťažkostiach z posledného dodatočného daňového priznania, a ak také neexistuje, potom sa vychádza z posledného opravného daňového priznania.</w:t>
      </w:r>
    </w:p>
    <w:p w14:paraId="5DCE1706" w14:textId="6AA34573" w:rsidR="008259BC" w:rsidRDefault="008259BC" w:rsidP="00840806">
      <w:pPr>
        <w:pStyle w:val="Bezriadkovania"/>
      </w:pPr>
    </w:p>
    <w:p w14:paraId="0ABCF451" w14:textId="77777777" w:rsidR="008259BC" w:rsidRPr="000D1551" w:rsidRDefault="008259BC" w:rsidP="008259BC">
      <w:pPr>
        <w:spacing w:after="0" w:line="257" w:lineRule="auto"/>
        <w:rPr>
          <w:rFonts w:cstheme="minorHAnsi"/>
        </w:rPr>
      </w:pPr>
      <w:r w:rsidRPr="000D1551">
        <w:rPr>
          <w:rFonts w:cstheme="minorHAnsi"/>
        </w:rPr>
        <w:t xml:space="preserve">Zdroj informácií pre posúdenie podmienok podniku ťažkostiach je závislý od vymedzenia v zmysle čl. 2 ods. 18 </w:t>
      </w:r>
      <w:r w:rsidRPr="00233E67">
        <w:rPr>
          <w:rFonts w:cstheme="minorHAnsi"/>
        </w:rPr>
        <w:t xml:space="preserve">nariadenia </w:t>
      </w:r>
      <w:r w:rsidRPr="00484C8B">
        <w:rPr>
          <w:rFonts w:cstheme="minorHAnsi"/>
        </w:rPr>
        <w:t>(EÚ) č. 651/2014</w:t>
      </w:r>
      <w:r w:rsidRPr="00233E67">
        <w:rPr>
          <w:rFonts w:cstheme="minorHAnsi"/>
        </w:rPr>
        <w:t xml:space="preserve"> a</w:t>
      </w:r>
      <w:r w:rsidRPr="000D1551">
        <w:rPr>
          <w:rFonts w:cstheme="minorHAnsi"/>
        </w:rPr>
        <w:t> od spôsobu účtovania podniku</w:t>
      </w:r>
      <w:r w:rsidRPr="00983609">
        <w:rPr>
          <w:rStyle w:val="Odkaznapoznmkupodiarou"/>
        </w:rPr>
        <w:footnoteReference w:id="12"/>
      </w:r>
      <w:r w:rsidRPr="000D1551">
        <w:rPr>
          <w:rFonts w:cstheme="minorHAnsi"/>
        </w:rPr>
        <w:t>, najmä:</w:t>
      </w:r>
    </w:p>
    <w:p w14:paraId="0DF58518" w14:textId="77777777" w:rsidR="008259BC" w:rsidRPr="000D1551" w:rsidRDefault="008259BC" w:rsidP="008259BC">
      <w:pPr>
        <w:numPr>
          <w:ilvl w:val="0"/>
          <w:numId w:val="33"/>
        </w:numPr>
        <w:spacing w:after="0" w:line="257" w:lineRule="auto"/>
        <w:rPr>
          <w:rFonts w:cstheme="minorHAnsi"/>
        </w:rPr>
      </w:pPr>
      <w:r w:rsidRPr="000D1551">
        <w:rPr>
          <w:rFonts w:cstheme="minorHAnsi"/>
        </w:rPr>
        <w:t xml:space="preserve">účtovná závierka a v nej obsiahnuté príslušné výkazy, </w:t>
      </w:r>
    </w:p>
    <w:p w14:paraId="1EFFB001" w14:textId="77777777" w:rsidR="008259BC" w:rsidRPr="000D1551" w:rsidRDefault="008259BC" w:rsidP="008259BC">
      <w:pPr>
        <w:numPr>
          <w:ilvl w:val="0"/>
          <w:numId w:val="33"/>
        </w:numPr>
        <w:spacing w:after="0" w:line="257" w:lineRule="auto"/>
        <w:rPr>
          <w:rFonts w:cstheme="minorHAnsi"/>
        </w:rPr>
      </w:pPr>
      <w:r w:rsidRPr="000D1551">
        <w:rPr>
          <w:rFonts w:cstheme="minorHAnsi"/>
        </w:rPr>
        <w:t xml:space="preserve">daňová evidencia, </w:t>
      </w:r>
    </w:p>
    <w:p w14:paraId="14AC31A2" w14:textId="520FD860" w:rsidR="008259BC" w:rsidRPr="008259BC" w:rsidRDefault="008259BC" w:rsidP="008259BC">
      <w:pPr>
        <w:numPr>
          <w:ilvl w:val="0"/>
          <w:numId w:val="33"/>
        </w:numPr>
        <w:spacing w:after="0" w:line="257" w:lineRule="auto"/>
        <w:rPr>
          <w:rFonts w:cstheme="minorHAnsi"/>
        </w:rPr>
      </w:pPr>
      <w:r w:rsidRPr="000D1551">
        <w:rPr>
          <w:rFonts w:cstheme="minorHAnsi"/>
        </w:rPr>
        <w:t>ďalšie doplňujúce informácie od subjektu.</w:t>
      </w:r>
    </w:p>
    <w:p w14:paraId="2A0A2D41" w14:textId="77777777" w:rsidR="003F6813" w:rsidRPr="00375341" w:rsidRDefault="003F6813" w:rsidP="00840806">
      <w:pPr>
        <w:pStyle w:val="Bezriadkovania"/>
      </w:pPr>
    </w:p>
    <w:p w14:paraId="1123B226" w14:textId="77777777" w:rsidR="00840806" w:rsidRPr="00375341" w:rsidRDefault="00840806" w:rsidP="00283CC8">
      <w:pPr>
        <w:pStyle w:val="Nadpis2"/>
      </w:pPr>
      <w:bookmarkStart w:id="16" w:name="_Toc131174978"/>
      <w:r w:rsidRPr="00375341">
        <w:t>Kritérium A</w:t>
      </w:r>
      <w:bookmarkEnd w:id="16"/>
    </w:p>
    <w:p w14:paraId="7032A124" w14:textId="77777777" w:rsidR="004E2822" w:rsidRPr="00375341" w:rsidRDefault="004E2822" w:rsidP="00840806">
      <w:pPr>
        <w:pStyle w:val="Bezriadkovania"/>
      </w:pPr>
    </w:p>
    <w:p w14:paraId="217615E0" w14:textId="724C324D" w:rsidR="00840806" w:rsidRPr="00375341" w:rsidRDefault="00840806" w:rsidP="00840806">
      <w:pPr>
        <w:pStyle w:val="Bezriadkovania"/>
      </w:pPr>
      <w:r w:rsidRPr="00375341">
        <w:t>Kritérium A sa uplatňuje (bez ohľadu na veľkosť podniku) najmä na:</w:t>
      </w:r>
    </w:p>
    <w:p w14:paraId="4A320372" w14:textId="77777777" w:rsidR="00840806" w:rsidRPr="00375341" w:rsidRDefault="00840806" w:rsidP="004E2822">
      <w:pPr>
        <w:pStyle w:val="Bezriadkovania"/>
        <w:numPr>
          <w:ilvl w:val="0"/>
          <w:numId w:val="21"/>
        </w:numPr>
      </w:pPr>
      <w:r w:rsidRPr="00375341">
        <w:t>spoločnosť s ručením obmedzeným,</w:t>
      </w:r>
    </w:p>
    <w:p w14:paraId="7BBB1AC8" w14:textId="33407F9F" w:rsidR="00840806" w:rsidRPr="00375341" w:rsidRDefault="00840806" w:rsidP="004E2822">
      <w:pPr>
        <w:pStyle w:val="Bezriadkovania"/>
        <w:numPr>
          <w:ilvl w:val="0"/>
          <w:numId w:val="21"/>
        </w:numPr>
      </w:pPr>
      <w:r w:rsidRPr="00375341">
        <w:t>akciovú spoločnosť</w:t>
      </w:r>
      <w:r w:rsidR="0021319F" w:rsidRPr="00375341">
        <w:t>/európsku spoločnosť</w:t>
      </w:r>
      <w:r w:rsidRPr="00375341">
        <w:t>,</w:t>
      </w:r>
    </w:p>
    <w:p w14:paraId="53FF59D9" w14:textId="77777777" w:rsidR="00840806" w:rsidRPr="00375341" w:rsidRDefault="00840806" w:rsidP="004E2822">
      <w:pPr>
        <w:pStyle w:val="Bezriadkovania"/>
        <w:numPr>
          <w:ilvl w:val="0"/>
          <w:numId w:val="21"/>
        </w:numPr>
      </w:pPr>
      <w:r w:rsidRPr="00375341">
        <w:lastRenderedPageBreak/>
        <w:t>jednoduchú spoločnosť na akcie,</w:t>
      </w:r>
    </w:p>
    <w:p w14:paraId="18F7FA6E" w14:textId="1C0B7832" w:rsidR="00840806" w:rsidRPr="00375341" w:rsidRDefault="00840806">
      <w:pPr>
        <w:pStyle w:val="Bezriadkovania"/>
        <w:numPr>
          <w:ilvl w:val="0"/>
          <w:numId w:val="21"/>
        </w:numPr>
      </w:pPr>
      <w:r w:rsidRPr="00375341">
        <w:t>štátny podnik,</w:t>
      </w:r>
    </w:p>
    <w:p w14:paraId="7C4F13DE" w14:textId="77777777" w:rsidR="00840806" w:rsidRPr="00375341" w:rsidRDefault="00840806" w:rsidP="004E2822">
      <w:pPr>
        <w:pStyle w:val="Bezriadkovania"/>
        <w:numPr>
          <w:ilvl w:val="0"/>
          <w:numId w:val="21"/>
        </w:numPr>
      </w:pPr>
      <w:r w:rsidRPr="00375341">
        <w:t>družstvo.</w:t>
      </w:r>
    </w:p>
    <w:p w14:paraId="694607DF" w14:textId="77777777" w:rsidR="004E2822" w:rsidRPr="00375341" w:rsidRDefault="004E2822" w:rsidP="00840806">
      <w:pPr>
        <w:pStyle w:val="Bezriadkovania"/>
      </w:pPr>
    </w:p>
    <w:p w14:paraId="00BA178D" w14:textId="79100F5C" w:rsidR="00840806" w:rsidRPr="00375341" w:rsidRDefault="00840806" w:rsidP="00840806">
      <w:pPr>
        <w:pStyle w:val="Bezriadkovania"/>
      </w:pPr>
      <w:r w:rsidRPr="00375341">
        <w:t xml:space="preserve">Kritérium A sa interpretuje tak, že ak hodnota vlastného imania (obsahujúca napočítané všetky pozitívne aj negatívne položky, ktoré sa do výpočtu vlastného imania započítavajú) bude nižšia než polovica hodnoty základného imania (upraveného o prípadné emisné ážio), došlo hospodárením podniku k takým akumulovaným stratám, ktoré spôsobili, že došlo k strate, resp. </w:t>
      </w:r>
      <w:proofErr w:type="spellStart"/>
      <w:r w:rsidRPr="00375341">
        <w:t>prekryvu</w:t>
      </w:r>
      <w:proofErr w:type="spellEnd"/>
      <w:r w:rsidRPr="00375341">
        <w:t xml:space="preserve"> ½ základného imania podniku.</w:t>
      </w:r>
    </w:p>
    <w:p w14:paraId="782A405E" w14:textId="77777777" w:rsidR="004E2822" w:rsidRPr="00375341" w:rsidRDefault="004E2822" w:rsidP="00840806">
      <w:pPr>
        <w:pStyle w:val="Bezriadkovania"/>
      </w:pPr>
    </w:p>
    <w:p w14:paraId="7E261EE9" w14:textId="6D3D31C6" w:rsidR="00840806" w:rsidRPr="00375341" w:rsidRDefault="00840806" w:rsidP="00840806">
      <w:pPr>
        <w:pStyle w:val="Bezriadkovania"/>
      </w:pPr>
      <w:r w:rsidRPr="00375341">
        <w:t>Podnik sa podľa tohto kritéria považuje za podnik v ťažkostiach, ak:</w:t>
      </w:r>
    </w:p>
    <w:p w14:paraId="5FAB7037" w14:textId="77777777" w:rsidR="004E2822" w:rsidRPr="00375341" w:rsidRDefault="004E2822" w:rsidP="00840806">
      <w:pPr>
        <w:pStyle w:val="Bezriadkovania"/>
      </w:pPr>
    </w:p>
    <w:p w14:paraId="177CD4AC" w14:textId="77777777" w:rsidR="00840806" w:rsidRPr="00375341" w:rsidRDefault="00840806" w:rsidP="00840806">
      <w:pPr>
        <w:pStyle w:val="Bezriadkovania"/>
      </w:pPr>
      <m:oMathPara>
        <m:oMath>
          <m:r>
            <w:rPr>
              <w:rFonts w:ascii="Cambria Math" w:hAnsi="Cambria Math"/>
            </w:rPr>
            <m:t xml:space="preserve">Vlastné imanie &lt; </m:t>
          </m:r>
          <m:f>
            <m:fPr>
              <m:ctrlPr>
                <w:rPr>
                  <w:rFonts w:ascii="Cambria Math" w:hAnsi="Cambria Math"/>
                  <w:i/>
                </w:rPr>
              </m:ctrlPr>
            </m:fPr>
            <m:num>
              <m:r>
                <w:rPr>
                  <w:rFonts w:ascii="Cambria Math" w:hAnsi="Cambria Math"/>
                </w:rPr>
                <m:t>Základné imanie+emisné ážio</m:t>
              </m:r>
            </m:num>
            <m:den>
              <m:r>
                <w:rPr>
                  <w:rFonts w:ascii="Cambria Math" w:hAnsi="Cambria Math"/>
                </w:rPr>
                <m:t>2</m:t>
              </m:r>
            </m:den>
          </m:f>
          <m:r>
            <w:rPr>
              <w:rFonts w:ascii="Cambria Math" w:hAnsi="Cambria Math"/>
            </w:rPr>
            <m:t xml:space="preserve"> </m:t>
          </m:r>
        </m:oMath>
      </m:oMathPara>
    </w:p>
    <w:p w14:paraId="3837D1CF" w14:textId="77777777" w:rsidR="004E2822" w:rsidRPr="00375341" w:rsidRDefault="004E2822" w:rsidP="00840806">
      <w:pPr>
        <w:pStyle w:val="Bezriadkovania"/>
      </w:pPr>
    </w:p>
    <w:p w14:paraId="2AF78B73" w14:textId="5DC70C82" w:rsidR="00840806" w:rsidRPr="00375341" w:rsidRDefault="00840806" w:rsidP="00840806">
      <w:pPr>
        <w:pStyle w:val="Bezriadkovania"/>
      </w:pPr>
      <w:r w:rsidRPr="00375341">
        <w:t>Toto kritérium sa posudzuje len za bežné referenčné obdobie.</w:t>
      </w:r>
    </w:p>
    <w:p w14:paraId="3E045C4E" w14:textId="77777777" w:rsidR="004E2822" w:rsidRPr="00375341" w:rsidRDefault="004E2822" w:rsidP="00840806">
      <w:pPr>
        <w:pStyle w:val="Bezriadkovania"/>
      </w:pPr>
      <w:bookmarkStart w:id="17" w:name="_Toc131174979"/>
    </w:p>
    <w:p w14:paraId="75AD80C2" w14:textId="17840018" w:rsidR="00840806" w:rsidRPr="00375341" w:rsidRDefault="00840806" w:rsidP="004E2822">
      <w:pPr>
        <w:pStyle w:val="Nadpis2"/>
      </w:pPr>
      <w:r w:rsidRPr="00375341">
        <w:t>Kritérium B</w:t>
      </w:r>
      <w:bookmarkEnd w:id="17"/>
    </w:p>
    <w:p w14:paraId="17E3F7F3" w14:textId="77777777" w:rsidR="004E2822" w:rsidRPr="00375341" w:rsidRDefault="004E2822" w:rsidP="00840806">
      <w:pPr>
        <w:pStyle w:val="Bezriadkovania"/>
      </w:pPr>
    </w:p>
    <w:p w14:paraId="1C318558" w14:textId="084E07F6" w:rsidR="00840806" w:rsidRPr="00375341" w:rsidRDefault="00840806" w:rsidP="00840806">
      <w:pPr>
        <w:pStyle w:val="Bezriadkovania"/>
      </w:pPr>
      <w:r w:rsidRPr="00375341">
        <w:t xml:space="preserve">Kritérium B </w:t>
      </w:r>
      <w:r w:rsidR="008259BC" w:rsidRPr="000D1551">
        <w:rPr>
          <w:rFonts w:cstheme="minorHAnsi"/>
        </w:rPr>
        <w:t xml:space="preserve">sa vzťahuje na také právne formy, ktoré povinne netvoria základné imanie a v ktorých niektorý  člen/spoločník plne ručí za záväzky podniku. </w:t>
      </w:r>
      <w:r w:rsidR="008259BC">
        <w:rPr>
          <w:rFonts w:cstheme="minorHAnsi"/>
        </w:rPr>
        <w:t xml:space="preserve">Ide </w:t>
      </w:r>
      <w:r w:rsidRPr="00375341">
        <w:t xml:space="preserve">najmä </w:t>
      </w:r>
      <w:r w:rsidR="008259BC">
        <w:t>o tieto právne formy</w:t>
      </w:r>
      <w:r w:rsidRPr="00375341">
        <w:t>:</w:t>
      </w:r>
    </w:p>
    <w:p w14:paraId="32D545FB" w14:textId="01CDF9B4" w:rsidR="00840806" w:rsidRPr="00375341" w:rsidRDefault="004E2822" w:rsidP="004E2822">
      <w:pPr>
        <w:pStyle w:val="Bezriadkovania"/>
        <w:numPr>
          <w:ilvl w:val="0"/>
          <w:numId w:val="22"/>
        </w:numPr>
      </w:pPr>
      <w:r w:rsidRPr="00375341">
        <w:t>k</w:t>
      </w:r>
      <w:r w:rsidR="00840806" w:rsidRPr="00375341">
        <w:t>omanditnú spoločnosť</w:t>
      </w:r>
      <w:r w:rsidR="008259BC">
        <w:t>,</w:t>
      </w:r>
    </w:p>
    <w:p w14:paraId="3AEA6CD3" w14:textId="586A14E0" w:rsidR="00840806" w:rsidRPr="00375341" w:rsidRDefault="004E2822" w:rsidP="004E2822">
      <w:pPr>
        <w:pStyle w:val="Bezriadkovania"/>
        <w:numPr>
          <w:ilvl w:val="0"/>
          <w:numId w:val="22"/>
        </w:numPr>
      </w:pPr>
      <w:r w:rsidRPr="00375341">
        <w:t>v</w:t>
      </w:r>
      <w:r w:rsidR="00840806" w:rsidRPr="00375341">
        <w:t>erejnú obchodnú spoločnosť</w:t>
      </w:r>
      <w:r w:rsidR="008259BC">
        <w:t>,</w:t>
      </w:r>
    </w:p>
    <w:p w14:paraId="4E5DAECC" w14:textId="4CB6D7FD" w:rsidR="00840806" w:rsidRPr="00375341" w:rsidRDefault="004E2822" w:rsidP="004E2822">
      <w:pPr>
        <w:pStyle w:val="Bezriadkovania"/>
        <w:numPr>
          <w:ilvl w:val="0"/>
          <w:numId w:val="22"/>
        </w:numPr>
      </w:pPr>
      <w:r w:rsidRPr="00375341">
        <w:t>f</w:t>
      </w:r>
      <w:r w:rsidR="00840806" w:rsidRPr="00375341">
        <w:t>yzickú osobu</w:t>
      </w:r>
      <w:r w:rsidR="008259BC">
        <w:t>.</w:t>
      </w:r>
    </w:p>
    <w:p w14:paraId="5633230B" w14:textId="77777777" w:rsidR="004E2822" w:rsidRPr="00375341" w:rsidRDefault="004E2822" w:rsidP="00840806">
      <w:pPr>
        <w:pStyle w:val="Bezriadkovania"/>
      </w:pPr>
    </w:p>
    <w:p w14:paraId="5C84794E" w14:textId="7434D441" w:rsidR="00840806" w:rsidRPr="00375341" w:rsidRDefault="00840806" w:rsidP="00840806">
      <w:pPr>
        <w:pStyle w:val="Bezriadkovania"/>
      </w:pPr>
      <w:r w:rsidRPr="00375341">
        <w:t>Kritérium B sa interpretuje tak, že ak akumulovaná strata je väčšia ako polovica hodnoty modifikovaného vlastného imania, došlo hospodárením podniku k zániku viac ako polovice jeho vlastného imania.</w:t>
      </w:r>
    </w:p>
    <w:p w14:paraId="612E9521" w14:textId="77777777" w:rsidR="00840806" w:rsidRPr="00375341" w:rsidRDefault="00840806" w:rsidP="00840806">
      <w:pPr>
        <w:pStyle w:val="Bezriadkovania"/>
      </w:pPr>
    </w:p>
    <w:p w14:paraId="531BED20" w14:textId="0E469BF3" w:rsidR="00840806" w:rsidRPr="00375341" w:rsidRDefault="00840806" w:rsidP="00840806">
      <w:pPr>
        <w:pStyle w:val="Bezriadkovania"/>
      </w:pPr>
      <w:r w:rsidRPr="00375341">
        <w:t>Podnik sa podľa toho kritéria považuje za podnik v ťažkostiach, ak:</w:t>
      </w:r>
    </w:p>
    <w:p w14:paraId="45D98268" w14:textId="77777777" w:rsidR="004E2822" w:rsidRPr="00375341" w:rsidRDefault="004E2822" w:rsidP="00840806">
      <w:pPr>
        <w:pStyle w:val="Bezriadkovania"/>
      </w:pPr>
    </w:p>
    <w:p w14:paraId="7164D22B" w14:textId="77777777" w:rsidR="00840806" w:rsidRPr="00375341" w:rsidRDefault="00840806" w:rsidP="00840806">
      <w:pPr>
        <w:pStyle w:val="Bezriadkovania"/>
      </w:pPr>
      <m:oMathPara>
        <m:oMath>
          <m:r>
            <w:rPr>
              <w:rFonts w:ascii="Cambria Math" w:hAnsi="Cambria Math"/>
            </w:rPr>
            <m:t xml:space="preserve">Akumulovaná strata&gt; </m:t>
          </m:r>
          <m:f>
            <m:fPr>
              <m:ctrlPr>
                <w:rPr>
                  <w:rFonts w:ascii="Cambria Math" w:hAnsi="Cambria Math"/>
                  <w:i/>
                </w:rPr>
              </m:ctrlPr>
            </m:fPr>
            <m:num>
              <m:r>
                <w:rPr>
                  <w:rFonts w:ascii="Cambria Math" w:hAnsi="Cambria Math"/>
                </w:rPr>
                <m:t>Modifikované vlastné imanie</m:t>
              </m:r>
            </m:num>
            <m:den>
              <m:r>
                <w:rPr>
                  <w:rFonts w:ascii="Cambria Math" w:hAnsi="Cambria Math"/>
                </w:rPr>
                <m:t>2</m:t>
              </m:r>
            </m:den>
          </m:f>
        </m:oMath>
      </m:oMathPara>
    </w:p>
    <w:p w14:paraId="750AD973" w14:textId="77777777" w:rsidR="004E2822" w:rsidRPr="00375341" w:rsidRDefault="004E2822" w:rsidP="00840806">
      <w:pPr>
        <w:pStyle w:val="Bezriadkovania"/>
      </w:pPr>
    </w:p>
    <w:p w14:paraId="43DFAAE4" w14:textId="196943F3" w:rsidR="00840806" w:rsidRPr="00375341" w:rsidRDefault="00840806" w:rsidP="00840806">
      <w:pPr>
        <w:pStyle w:val="Bezriadkovania"/>
      </w:pPr>
      <w:r w:rsidRPr="00375341">
        <w:t xml:space="preserve">Akumulovaná strata je absolútna hodnota záporného výsledku súčtu výsledku hospodárenia za účtovné obdobie a výsledku hospodárenia minulých rokov. </w:t>
      </w:r>
    </w:p>
    <w:p w14:paraId="76607008" w14:textId="77777777" w:rsidR="004E2822" w:rsidRPr="00375341" w:rsidRDefault="004E2822" w:rsidP="00840806">
      <w:pPr>
        <w:pStyle w:val="Bezriadkovania"/>
      </w:pPr>
    </w:p>
    <w:p w14:paraId="76ABBCA0" w14:textId="6AC9C329" w:rsidR="00840806" w:rsidRPr="00375341" w:rsidRDefault="00840806" w:rsidP="00840806">
      <w:pPr>
        <w:pStyle w:val="Bezriadkovania"/>
      </w:pPr>
      <w:r w:rsidRPr="00375341">
        <w:t>Modifikované vlastné imanie je súčet vlastného imania a akumulovanej straty.</w:t>
      </w:r>
    </w:p>
    <w:p w14:paraId="5950E29F" w14:textId="77777777" w:rsidR="004E2822" w:rsidRPr="00375341" w:rsidRDefault="004E2822" w:rsidP="00840806">
      <w:pPr>
        <w:pStyle w:val="Bezriadkovania"/>
      </w:pPr>
    </w:p>
    <w:p w14:paraId="35703120" w14:textId="4801C0F1" w:rsidR="00840806" w:rsidRPr="00375341" w:rsidRDefault="00840806" w:rsidP="00840806">
      <w:pPr>
        <w:pStyle w:val="Bezriadkovania"/>
      </w:pPr>
      <w:r w:rsidRPr="00375341">
        <w:t>Ak súčet výsledku hospodárenia v bežnom účtovnom období a výsledku hospodárenia minulých rokov nie je záporné číslo, podnik sa podľa tohto kritéria nepovažuje za podnik v ťažkostiach.</w:t>
      </w:r>
    </w:p>
    <w:p w14:paraId="0653ADBA" w14:textId="77777777" w:rsidR="004E2822" w:rsidRPr="00375341" w:rsidRDefault="004E2822" w:rsidP="00840806">
      <w:pPr>
        <w:pStyle w:val="Bezriadkovania"/>
      </w:pPr>
    </w:p>
    <w:p w14:paraId="2C195ACA" w14:textId="2BB9F6BD" w:rsidR="00840806" w:rsidRPr="00375341" w:rsidRDefault="00840806" w:rsidP="00840806">
      <w:pPr>
        <w:pStyle w:val="Bezriadkovania"/>
      </w:pPr>
      <w:r w:rsidRPr="00375341">
        <w:t>Toto kritérium sa posudzuje len za bežné referenčné obdobie.</w:t>
      </w:r>
    </w:p>
    <w:p w14:paraId="05295C24" w14:textId="77777777" w:rsidR="004E2822" w:rsidRPr="00375341" w:rsidRDefault="004E2822" w:rsidP="00840806">
      <w:pPr>
        <w:pStyle w:val="Bezriadkovania"/>
      </w:pPr>
    </w:p>
    <w:p w14:paraId="63BCB9C4" w14:textId="2B014A99" w:rsidR="00840806" w:rsidRPr="00375341" w:rsidRDefault="00840806" w:rsidP="004E2822">
      <w:pPr>
        <w:pStyle w:val="Nadpis2"/>
      </w:pPr>
      <w:bookmarkStart w:id="18" w:name="_Toc131174980"/>
      <w:r w:rsidRPr="00375341">
        <w:t>Kritérium C</w:t>
      </w:r>
      <w:bookmarkEnd w:id="18"/>
    </w:p>
    <w:p w14:paraId="6B9788FA" w14:textId="77777777" w:rsidR="004E2822" w:rsidRPr="00375341" w:rsidRDefault="004E2822" w:rsidP="00840806">
      <w:pPr>
        <w:pStyle w:val="Bezriadkovania"/>
      </w:pPr>
    </w:p>
    <w:p w14:paraId="5A2F91DB" w14:textId="2888EED2" w:rsidR="00840806" w:rsidRPr="00375341" w:rsidRDefault="00840806" w:rsidP="00840806">
      <w:pPr>
        <w:pStyle w:val="Bezriadkovania"/>
      </w:pPr>
      <w:r w:rsidRPr="00375341">
        <w:t>Kritérium C sa uplatňuje na všetky podniky, na ktoré sa vzťahuje zákon o konkurze</w:t>
      </w:r>
      <w:bookmarkStart w:id="19" w:name="_Ref140150288"/>
      <w:r w:rsidRPr="00375341">
        <w:rPr>
          <w:rStyle w:val="Odkaznapoznmkupodiarou"/>
        </w:rPr>
        <w:footnoteReference w:id="13"/>
      </w:r>
      <w:bookmarkEnd w:id="19"/>
      <w:r w:rsidRPr="00375341">
        <w:t xml:space="preserve"> </w:t>
      </w:r>
      <w:r w:rsidR="001C1F6D" w:rsidRPr="00375341">
        <w:t>alebo</w:t>
      </w:r>
      <w:r w:rsidRPr="00375341">
        <w:t xml:space="preserve"> zákon o rozpočtových pravidlách</w:t>
      </w:r>
      <w:bookmarkStart w:id="20" w:name="_Ref140150395"/>
      <w:r w:rsidR="008259BC">
        <w:t xml:space="preserve"> územnej samosprávy</w:t>
      </w:r>
      <w:bookmarkStart w:id="21" w:name="_Ref166845806"/>
      <w:r w:rsidRPr="00375341">
        <w:rPr>
          <w:rStyle w:val="Odkaznapoznmkupodiarou"/>
        </w:rPr>
        <w:footnoteReference w:id="14"/>
      </w:r>
      <w:bookmarkEnd w:id="20"/>
      <w:bookmarkEnd w:id="21"/>
      <w:r w:rsidRPr="00375341">
        <w:t>.</w:t>
      </w:r>
    </w:p>
    <w:p w14:paraId="6830B7C4" w14:textId="77777777" w:rsidR="004E2822" w:rsidRPr="00375341" w:rsidRDefault="004E2822" w:rsidP="00840806">
      <w:pPr>
        <w:pStyle w:val="Bezriadkovania"/>
      </w:pPr>
    </w:p>
    <w:p w14:paraId="5607D226" w14:textId="77777777" w:rsidR="004E2822" w:rsidRPr="00375341" w:rsidRDefault="004E2822" w:rsidP="00840806">
      <w:pPr>
        <w:pStyle w:val="Bezriadkovania"/>
      </w:pPr>
    </w:p>
    <w:p w14:paraId="61FECA3F" w14:textId="0C921B38" w:rsidR="00840806" w:rsidRPr="00375341" w:rsidRDefault="00840806" w:rsidP="00840806">
      <w:pPr>
        <w:pStyle w:val="Bezriadkovania"/>
      </w:pPr>
      <w:r w:rsidRPr="00375341">
        <w:t>Podnik sa podľa tohto kritéria považuje za podnik v ťažkostiach, ak:</w:t>
      </w:r>
    </w:p>
    <w:p w14:paraId="06A1BAD1" w14:textId="77777777" w:rsidR="00840806" w:rsidRPr="00375341" w:rsidRDefault="00840806" w:rsidP="004E2822">
      <w:pPr>
        <w:pStyle w:val="Bezriadkovania"/>
        <w:numPr>
          <w:ilvl w:val="0"/>
          <w:numId w:val="23"/>
        </w:numPr>
      </w:pPr>
      <w:r w:rsidRPr="00375341">
        <w:t>je na majetok resp. na samotný podnik:</w:t>
      </w:r>
    </w:p>
    <w:p w14:paraId="058894EF" w14:textId="2654A89E" w:rsidR="00840806" w:rsidRPr="00375341" w:rsidRDefault="00840806" w:rsidP="004E2822">
      <w:pPr>
        <w:pStyle w:val="Bezriadkovania"/>
        <w:numPr>
          <w:ilvl w:val="1"/>
          <w:numId w:val="23"/>
        </w:numPr>
      </w:pPr>
      <w:r w:rsidRPr="00375341">
        <w:t>začaté konkurzné konanie</w:t>
      </w:r>
      <w:r w:rsidR="002A5A12" w:rsidRPr="00375341">
        <w:fldChar w:fldCharType="begin"/>
      </w:r>
      <w:r w:rsidR="002A5A12" w:rsidRPr="00375341">
        <w:instrText xml:space="preserve"> NOTEREF _Ref140150288 \f \h </w:instrText>
      </w:r>
      <w:r w:rsidR="00375341">
        <w:instrText xml:space="preserve"> \* MERGEFORMAT </w:instrText>
      </w:r>
      <w:r w:rsidR="002A5A12" w:rsidRPr="00375341">
        <w:fldChar w:fldCharType="separate"/>
      </w:r>
      <w:r w:rsidR="00CD1DCD" w:rsidRPr="00CD1DCD">
        <w:rPr>
          <w:rStyle w:val="Odkaznapoznmkupodiarou"/>
        </w:rPr>
        <w:t>12</w:t>
      </w:r>
      <w:r w:rsidR="002A5A12" w:rsidRPr="00375341">
        <w:fldChar w:fldCharType="end"/>
      </w:r>
      <w:r w:rsidRPr="00375341">
        <w:t>, alebo</w:t>
      </w:r>
    </w:p>
    <w:p w14:paraId="63C6405B" w14:textId="4F923A9F" w:rsidR="00840806" w:rsidRPr="00375341" w:rsidRDefault="00840806" w:rsidP="004E2822">
      <w:pPr>
        <w:pStyle w:val="Bezriadkovania"/>
        <w:numPr>
          <w:ilvl w:val="1"/>
          <w:numId w:val="23"/>
        </w:numPr>
      </w:pPr>
      <w:r w:rsidRPr="00375341">
        <w:t>vyhlásený konkurz</w:t>
      </w:r>
      <w:r w:rsidR="00460F05" w:rsidRPr="00375341">
        <w:fldChar w:fldCharType="begin"/>
      </w:r>
      <w:r w:rsidR="00460F05" w:rsidRPr="00375341">
        <w:instrText xml:space="preserve"> NOTEREF _Ref140150288 \f \h </w:instrText>
      </w:r>
      <w:r w:rsidR="00375341">
        <w:instrText xml:space="preserve"> \* MERGEFORMAT </w:instrText>
      </w:r>
      <w:r w:rsidR="00460F05" w:rsidRPr="00375341">
        <w:fldChar w:fldCharType="separate"/>
      </w:r>
      <w:r w:rsidR="00CD1DCD" w:rsidRPr="00CD1DCD">
        <w:rPr>
          <w:rStyle w:val="Odkaznapoznmkupodiarou"/>
        </w:rPr>
        <w:t>12</w:t>
      </w:r>
      <w:r w:rsidR="00460F05" w:rsidRPr="00375341">
        <w:fldChar w:fldCharType="end"/>
      </w:r>
      <w:r w:rsidRPr="00375341">
        <w:t>, alebo</w:t>
      </w:r>
    </w:p>
    <w:p w14:paraId="479FD15A" w14:textId="1FC311BB" w:rsidR="00840806" w:rsidRPr="00375341" w:rsidRDefault="00840806" w:rsidP="004E2822">
      <w:pPr>
        <w:pStyle w:val="Bezriadkovania"/>
        <w:numPr>
          <w:ilvl w:val="1"/>
          <w:numId w:val="23"/>
        </w:numPr>
      </w:pPr>
      <w:r w:rsidRPr="00375341">
        <w:t>zastavené konkurzné konanie pre nedostatok majetku</w:t>
      </w:r>
      <w:r w:rsidR="00100ACF" w:rsidRPr="00375341">
        <w:fldChar w:fldCharType="begin"/>
      </w:r>
      <w:r w:rsidR="00100ACF" w:rsidRPr="00375341">
        <w:instrText xml:space="preserve"> NOTEREF _Ref140150288 \f \h </w:instrText>
      </w:r>
      <w:r w:rsidR="00375341">
        <w:instrText xml:space="preserve"> \* MERGEFORMAT </w:instrText>
      </w:r>
      <w:r w:rsidR="00100ACF" w:rsidRPr="00375341">
        <w:fldChar w:fldCharType="separate"/>
      </w:r>
      <w:r w:rsidR="00CD1DCD" w:rsidRPr="00CD1DCD">
        <w:rPr>
          <w:rStyle w:val="Odkaznapoznmkupodiarou"/>
        </w:rPr>
        <w:t>12</w:t>
      </w:r>
      <w:r w:rsidR="00100ACF" w:rsidRPr="00375341">
        <w:fldChar w:fldCharType="end"/>
      </w:r>
      <w:r w:rsidRPr="00375341">
        <w:t>, alebo</w:t>
      </w:r>
    </w:p>
    <w:p w14:paraId="592F51EB" w14:textId="26EDBD80" w:rsidR="00840806" w:rsidRPr="00375341" w:rsidRDefault="00840806" w:rsidP="004E2822">
      <w:pPr>
        <w:pStyle w:val="Bezriadkovania"/>
        <w:numPr>
          <w:ilvl w:val="1"/>
          <w:numId w:val="23"/>
        </w:numPr>
      </w:pPr>
      <w:r w:rsidRPr="00375341">
        <w:t>zrušený konkurz pre nedostatok majetku</w:t>
      </w:r>
      <w:r w:rsidR="00100ACF" w:rsidRPr="00375341">
        <w:fldChar w:fldCharType="begin"/>
      </w:r>
      <w:r w:rsidR="00100ACF" w:rsidRPr="00375341">
        <w:instrText xml:space="preserve"> NOTEREF _Ref140150288 \f \h </w:instrText>
      </w:r>
      <w:r w:rsidR="00375341">
        <w:instrText xml:space="preserve"> \* MERGEFORMAT </w:instrText>
      </w:r>
      <w:r w:rsidR="00100ACF" w:rsidRPr="00375341">
        <w:fldChar w:fldCharType="separate"/>
      </w:r>
      <w:r w:rsidR="00CD1DCD" w:rsidRPr="00CD1DCD">
        <w:rPr>
          <w:rStyle w:val="Odkaznapoznmkupodiarou"/>
        </w:rPr>
        <w:t>12</w:t>
      </w:r>
      <w:r w:rsidR="00100ACF" w:rsidRPr="00375341">
        <w:fldChar w:fldCharType="end"/>
      </w:r>
      <w:r w:rsidRPr="00375341">
        <w:t>, alebo</w:t>
      </w:r>
    </w:p>
    <w:p w14:paraId="05D32374" w14:textId="4B95B104" w:rsidR="00840806" w:rsidRPr="00375341" w:rsidRDefault="00840806" w:rsidP="004E2822">
      <w:pPr>
        <w:pStyle w:val="Bezriadkovania"/>
        <w:numPr>
          <w:ilvl w:val="0"/>
          <w:numId w:val="23"/>
        </w:numPr>
      </w:pPr>
      <w:r w:rsidRPr="00375341">
        <w:t>je obec, mesto alebo samosprávny kraj v nútenej správe</w:t>
      </w:r>
      <w:r w:rsidR="002A5A12" w:rsidRPr="00375341">
        <w:fldChar w:fldCharType="begin"/>
      </w:r>
      <w:r w:rsidR="002A5A12" w:rsidRPr="00375341">
        <w:instrText xml:space="preserve"> NOTEREF _Ref140150395 \f \h </w:instrText>
      </w:r>
      <w:r w:rsidR="00375341">
        <w:instrText xml:space="preserve"> \* MERGEFORMAT </w:instrText>
      </w:r>
      <w:r w:rsidR="002A5A12" w:rsidRPr="00375341">
        <w:fldChar w:fldCharType="separate"/>
      </w:r>
      <w:r w:rsidR="00CD1DCD" w:rsidRPr="00CD1DCD">
        <w:rPr>
          <w:rStyle w:val="Odkaznapoznmkupodiarou"/>
        </w:rPr>
        <w:t>13</w:t>
      </w:r>
      <w:r w:rsidR="002A5A12" w:rsidRPr="00375341">
        <w:fldChar w:fldCharType="end"/>
      </w:r>
      <w:r w:rsidRPr="00375341">
        <w:t>, alebo</w:t>
      </w:r>
    </w:p>
    <w:p w14:paraId="7A581764" w14:textId="67A1A387" w:rsidR="00840806" w:rsidRPr="00375341" w:rsidRDefault="00840806" w:rsidP="00CD1DCD">
      <w:pPr>
        <w:pStyle w:val="Bezriadkovania"/>
        <w:numPr>
          <w:ilvl w:val="0"/>
          <w:numId w:val="23"/>
        </w:numPr>
      </w:pPr>
      <w:r w:rsidRPr="00375341">
        <w:t>je zriaďovateľ príspevkovej alebo rozpočtovej organizácie v nútenej správe</w:t>
      </w:r>
      <w:r w:rsidR="002A5A12" w:rsidRPr="00375341">
        <w:fldChar w:fldCharType="begin"/>
      </w:r>
      <w:r w:rsidR="002A5A12" w:rsidRPr="00375341">
        <w:instrText xml:space="preserve"> NOTEREF _Ref140150395 \f \h </w:instrText>
      </w:r>
      <w:r w:rsidR="00375341">
        <w:instrText xml:space="preserve"> \* MERGEFORMAT </w:instrText>
      </w:r>
      <w:r w:rsidR="002A5A12" w:rsidRPr="00375341">
        <w:fldChar w:fldCharType="separate"/>
      </w:r>
      <w:r w:rsidR="00CD1DCD" w:rsidRPr="00CD1DCD">
        <w:rPr>
          <w:rStyle w:val="Odkaznapoznmkupodiarou"/>
        </w:rPr>
        <w:t>13</w:t>
      </w:r>
      <w:r w:rsidR="002A5A12" w:rsidRPr="00375341">
        <w:fldChar w:fldCharType="end"/>
      </w:r>
      <w:r w:rsidR="008259BC">
        <w:t>.</w:t>
      </w:r>
    </w:p>
    <w:p w14:paraId="5410164F" w14:textId="77777777" w:rsidR="004E2822" w:rsidRPr="00375341" w:rsidRDefault="004E2822" w:rsidP="00840806">
      <w:pPr>
        <w:pStyle w:val="Bezriadkovania"/>
      </w:pPr>
    </w:p>
    <w:p w14:paraId="0115BA0B" w14:textId="1C112FB7" w:rsidR="008259BC" w:rsidRDefault="008259BC" w:rsidP="00840806">
      <w:pPr>
        <w:pStyle w:val="Bezriadkovania"/>
        <w:rPr>
          <w:rFonts w:cstheme="minorHAnsi"/>
        </w:rPr>
      </w:pPr>
      <w:r w:rsidRPr="000D1551">
        <w:rPr>
          <w:rFonts w:cstheme="minorHAnsi"/>
        </w:rPr>
        <w:t>Ak existujú dôkazy o tom, že je podnik platobne neschopný</w:t>
      </w:r>
      <w:r>
        <w:rPr>
          <w:rFonts w:cstheme="minorHAnsi"/>
          <w:vertAlign w:val="superscript"/>
        </w:rPr>
        <w:fldChar w:fldCharType="begin"/>
      </w:r>
      <w:r>
        <w:rPr>
          <w:rFonts w:cstheme="minorHAnsi"/>
        </w:rPr>
        <w:instrText xml:space="preserve"> NOTEREF _Ref140150288 \f \h </w:instrText>
      </w:r>
      <w:r>
        <w:rPr>
          <w:rFonts w:cstheme="minorHAnsi"/>
          <w:vertAlign w:val="superscript"/>
        </w:rPr>
      </w:r>
      <w:r>
        <w:rPr>
          <w:rFonts w:cstheme="minorHAnsi"/>
          <w:vertAlign w:val="superscript"/>
        </w:rPr>
        <w:fldChar w:fldCharType="separate"/>
      </w:r>
      <w:r w:rsidR="00CD1DCD" w:rsidRPr="00CD1DCD">
        <w:rPr>
          <w:rStyle w:val="Odkaznapoznmkupodiarou"/>
        </w:rPr>
        <w:t>12</w:t>
      </w:r>
      <w:r>
        <w:rPr>
          <w:rFonts w:cstheme="minorHAnsi"/>
          <w:vertAlign w:val="superscript"/>
        </w:rPr>
        <w:fldChar w:fldCharType="end"/>
      </w:r>
      <w:r w:rsidRPr="000D1551">
        <w:rPr>
          <w:rFonts w:cstheme="minorHAnsi"/>
        </w:rPr>
        <w:t xml:space="preserve"> alebo predlžený</w:t>
      </w:r>
      <w:r>
        <w:rPr>
          <w:rFonts w:cstheme="minorHAnsi"/>
          <w:vertAlign w:val="superscript"/>
        </w:rPr>
        <w:fldChar w:fldCharType="begin"/>
      </w:r>
      <w:r>
        <w:rPr>
          <w:rFonts w:cstheme="minorHAnsi"/>
        </w:rPr>
        <w:instrText xml:space="preserve"> NOTEREF _Ref140150288 \f \h </w:instrText>
      </w:r>
      <w:r>
        <w:rPr>
          <w:rFonts w:cstheme="minorHAnsi"/>
          <w:vertAlign w:val="superscript"/>
        </w:rPr>
      </w:r>
      <w:r>
        <w:rPr>
          <w:rFonts w:cstheme="minorHAnsi"/>
          <w:vertAlign w:val="superscript"/>
        </w:rPr>
        <w:fldChar w:fldCharType="separate"/>
      </w:r>
      <w:r w:rsidR="00CD1DCD" w:rsidRPr="00CD1DCD">
        <w:rPr>
          <w:rStyle w:val="Odkaznapoznmkupodiarou"/>
        </w:rPr>
        <w:t>12</w:t>
      </w:r>
      <w:r>
        <w:rPr>
          <w:rFonts w:cstheme="minorHAnsi"/>
          <w:vertAlign w:val="superscript"/>
        </w:rPr>
        <w:fldChar w:fldCharType="end"/>
      </w:r>
      <w:r w:rsidRPr="000D1551">
        <w:rPr>
          <w:rFonts w:cstheme="minorHAnsi"/>
        </w:rPr>
        <w:t xml:space="preserve">, posudzuje sa podľa tohto kritéria. Poskytovateľ je oprávnený dožiadať subjekt o príslušné doklady, dôkazy alebo </w:t>
      </w:r>
      <w:r>
        <w:rPr>
          <w:rFonts w:cstheme="minorHAnsi"/>
        </w:rPr>
        <w:t>vy</w:t>
      </w:r>
      <w:r w:rsidRPr="000D1551">
        <w:rPr>
          <w:rFonts w:cstheme="minorHAnsi"/>
        </w:rPr>
        <w:t>hlásenie, ak má pochybnosť o tom, že podnik môže byť platobne neschopný alebo pred</w:t>
      </w:r>
      <w:r>
        <w:rPr>
          <w:rFonts w:cstheme="minorHAnsi"/>
        </w:rPr>
        <w:t>l</w:t>
      </w:r>
      <w:r w:rsidRPr="000D1551">
        <w:rPr>
          <w:rFonts w:cstheme="minorHAnsi"/>
        </w:rPr>
        <w:t>žený. Obdobne sa postupuje v prípade, a</w:t>
      </w:r>
      <w:r>
        <w:rPr>
          <w:rFonts w:cstheme="minorHAnsi"/>
        </w:rPr>
        <w:t>k</w:t>
      </w:r>
      <w:r w:rsidRPr="000D1551">
        <w:rPr>
          <w:rFonts w:cstheme="minorHAnsi"/>
        </w:rPr>
        <w:t xml:space="preserve"> je alebo sa javí byť splnená niektorá z požiadaviek oprávňujúca zavedenie nútenej správy</w:t>
      </w:r>
      <w:r w:rsidR="00B24F15">
        <w:rPr>
          <w:rFonts w:cstheme="minorHAnsi"/>
        </w:rPr>
        <w:fldChar w:fldCharType="begin"/>
      </w:r>
      <w:r w:rsidR="00B24F15">
        <w:rPr>
          <w:rFonts w:cstheme="minorHAnsi"/>
        </w:rPr>
        <w:instrText xml:space="preserve"> NOTEREF _Ref166845806 \f \h </w:instrText>
      </w:r>
      <w:r w:rsidR="00B24F15">
        <w:rPr>
          <w:rFonts w:cstheme="minorHAnsi"/>
        </w:rPr>
      </w:r>
      <w:r w:rsidR="00B24F15">
        <w:rPr>
          <w:rFonts w:cstheme="minorHAnsi"/>
        </w:rPr>
        <w:fldChar w:fldCharType="separate"/>
      </w:r>
      <w:r w:rsidR="00CD1DCD" w:rsidRPr="00CD1DCD">
        <w:rPr>
          <w:rStyle w:val="Odkaznapoznmkupodiarou"/>
        </w:rPr>
        <w:t>13</w:t>
      </w:r>
      <w:r w:rsidR="00B24F15">
        <w:rPr>
          <w:rFonts w:cstheme="minorHAnsi"/>
        </w:rPr>
        <w:fldChar w:fldCharType="end"/>
      </w:r>
      <w:r w:rsidR="00B24F15">
        <w:t>.</w:t>
      </w:r>
    </w:p>
    <w:p w14:paraId="12B03701" w14:textId="77777777" w:rsidR="00017CC7" w:rsidRDefault="00017CC7" w:rsidP="00840806">
      <w:pPr>
        <w:pStyle w:val="Bezriadkovania"/>
        <w:rPr>
          <w:rFonts w:cstheme="minorHAnsi"/>
        </w:rPr>
      </w:pPr>
    </w:p>
    <w:p w14:paraId="1E287ED0" w14:textId="77777777" w:rsidR="00017CC7" w:rsidRPr="00375341" w:rsidRDefault="00017CC7" w:rsidP="00017CC7">
      <w:pPr>
        <w:pStyle w:val="Bezriadkovania"/>
      </w:pPr>
      <w:r w:rsidRPr="00375341">
        <w:t xml:space="preserve">Podnik nesmie byť predmetom kolektívneho konkurzného konania ani nesmie spĺňať kritériá právnych predpisov na to, aby sa stal predmetom kolektívneho konkurzného konania na žiadosť svojich veriteľov. </w:t>
      </w:r>
    </w:p>
    <w:p w14:paraId="2212ACE5" w14:textId="77777777" w:rsidR="00017CC7" w:rsidRDefault="00017CC7" w:rsidP="00840806">
      <w:pPr>
        <w:pStyle w:val="Bezriadkovania"/>
      </w:pPr>
    </w:p>
    <w:p w14:paraId="208644E0" w14:textId="4E7F34B4" w:rsidR="00840806" w:rsidRPr="00375341" w:rsidRDefault="00840806" w:rsidP="00840806">
      <w:pPr>
        <w:pStyle w:val="Bezriadkovania"/>
      </w:pPr>
      <w:r w:rsidRPr="00375341">
        <w:t>Toto kritérium sa neviaže na žiadne referenčné obdobie.</w:t>
      </w:r>
    </w:p>
    <w:p w14:paraId="6D73E3FD" w14:textId="77777777" w:rsidR="004E2822" w:rsidRPr="00375341" w:rsidRDefault="004E2822" w:rsidP="00840806">
      <w:pPr>
        <w:pStyle w:val="Bezriadkovania"/>
      </w:pPr>
    </w:p>
    <w:p w14:paraId="5A0D0E6E" w14:textId="12BE9728" w:rsidR="00840806" w:rsidRPr="00375341" w:rsidRDefault="00840806" w:rsidP="004E2822">
      <w:pPr>
        <w:pStyle w:val="Nadpis2"/>
      </w:pPr>
      <w:bookmarkStart w:id="22" w:name="_Toc131174981"/>
      <w:r w:rsidRPr="00375341">
        <w:t>Kritérium D</w:t>
      </w:r>
      <w:bookmarkEnd w:id="22"/>
      <w:r w:rsidR="00017CC7">
        <w:rPr>
          <w:rStyle w:val="Odkaznapoznmkupodiarou"/>
        </w:rPr>
        <w:footnoteReference w:id="15"/>
      </w:r>
    </w:p>
    <w:p w14:paraId="75BCAC42" w14:textId="77777777" w:rsidR="004E2822" w:rsidRPr="00375341" w:rsidRDefault="004E2822" w:rsidP="00840806">
      <w:pPr>
        <w:pStyle w:val="Bezriadkovania"/>
      </w:pPr>
    </w:p>
    <w:p w14:paraId="41EF6F9F" w14:textId="48795A6B" w:rsidR="00840806" w:rsidRPr="00375341" w:rsidRDefault="00840806" w:rsidP="00840806">
      <w:pPr>
        <w:pStyle w:val="Bezriadkovania"/>
      </w:pPr>
      <w:r w:rsidRPr="00375341">
        <w:t>Kritérium D sa uplatňuje na všetky podniky</w:t>
      </w:r>
      <w:r w:rsidR="00017CC7" w:rsidRPr="000D1551">
        <w:rPr>
          <w:rFonts w:cstheme="minorHAnsi"/>
        </w:rPr>
        <w:t>, ak z</w:t>
      </w:r>
      <w:r w:rsidR="00017CC7">
        <w:rPr>
          <w:rFonts w:cstheme="minorHAnsi"/>
        </w:rPr>
        <w:t> tejto metodiky</w:t>
      </w:r>
      <w:r w:rsidR="00017CC7" w:rsidRPr="000D1551">
        <w:rPr>
          <w:rFonts w:cstheme="minorHAnsi"/>
        </w:rPr>
        <w:t xml:space="preserve"> výslovne nevyplýva, že určitý podnik je z uplatnenia tohto kritéria vyňatý (pozri napr. kapitolu 4 </w:t>
      </w:r>
      <w:r w:rsidR="00017CC7">
        <w:rPr>
          <w:rFonts w:cstheme="minorHAnsi"/>
        </w:rPr>
        <w:t>tejto metodiky</w:t>
      </w:r>
      <w:r w:rsidR="00017CC7" w:rsidRPr="000D1551">
        <w:rPr>
          <w:rFonts w:cstheme="minorHAnsi"/>
        </w:rPr>
        <w:t>)</w:t>
      </w:r>
      <w:r w:rsidRPr="00375341">
        <w:t>.</w:t>
      </w:r>
    </w:p>
    <w:p w14:paraId="3752A60B" w14:textId="77777777" w:rsidR="004E2822" w:rsidRPr="00375341" w:rsidRDefault="004E2822" w:rsidP="00840806">
      <w:pPr>
        <w:pStyle w:val="Bezriadkovania"/>
      </w:pPr>
    </w:p>
    <w:p w14:paraId="199A028D" w14:textId="4B87EB0F" w:rsidR="00840806" w:rsidRPr="00375341" w:rsidRDefault="00840806" w:rsidP="00840806">
      <w:pPr>
        <w:pStyle w:val="Bezriadkovania"/>
      </w:pPr>
      <w:r w:rsidRPr="00375341">
        <w:t>Kritérium D posudzuje, či podnik dostal pomoc na záchranu a ešte neuhradil úver alebo nevypovedal záruku, alebo dostal pomoc na reštrukturalizáciu a stále podlieha reštrukturalizačnému plánu.</w:t>
      </w:r>
      <w:r w:rsidR="004E2822" w:rsidRPr="00375341">
        <w:t xml:space="preserve"> </w:t>
      </w:r>
      <w:r w:rsidRPr="00375341">
        <w:t>Pomocou podľa predchádzajúcej vety sa rozumie pomoc, ktorú podnik dostal podľa Oznámenia Komisie – Usmernenia o štátnej pomoci na záchranu a reštrukturalizáciu nefinančných podnikov v ťažkostiach</w:t>
      </w:r>
      <w:r w:rsidRPr="00375341">
        <w:rPr>
          <w:rStyle w:val="Odkaznapoznmkupodiarou"/>
        </w:rPr>
        <w:footnoteReference w:id="16"/>
      </w:r>
      <w:r w:rsidRPr="00375341">
        <w:t xml:space="preserve">. </w:t>
      </w:r>
    </w:p>
    <w:p w14:paraId="3851724B" w14:textId="77777777" w:rsidR="004E2822" w:rsidRPr="00375341" w:rsidRDefault="004E2822" w:rsidP="00840806">
      <w:pPr>
        <w:pStyle w:val="Bezriadkovania"/>
      </w:pPr>
    </w:p>
    <w:p w14:paraId="4460A241" w14:textId="77777777" w:rsidR="00840806" w:rsidRPr="00375341" w:rsidRDefault="00840806" w:rsidP="00840806">
      <w:pPr>
        <w:pStyle w:val="Bezriadkovania"/>
      </w:pPr>
      <w:r w:rsidRPr="00375341">
        <w:t>Podnik sa podľa tohto kritéria považuje za podnik v ťažkostiach, ak:</w:t>
      </w:r>
    </w:p>
    <w:p w14:paraId="4A3D78F2" w14:textId="77777777" w:rsidR="00840806" w:rsidRPr="00375341" w:rsidRDefault="00840806" w:rsidP="004E2822">
      <w:pPr>
        <w:pStyle w:val="Bezriadkovania"/>
        <w:numPr>
          <w:ilvl w:val="0"/>
          <w:numId w:val="24"/>
        </w:numPr>
      </w:pPr>
      <w:r w:rsidRPr="00375341">
        <w:t>dostal pomoc na záchranu a ešte neuhradil úver alebo nevypovedal záruku, alebo</w:t>
      </w:r>
    </w:p>
    <w:p w14:paraId="3355B3E2" w14:textId="77777777" w:rsidR="00840806" w:rsidRPr="00375341" w:rsidRDefault="00840806" w:rsidP="004E2822">
      <w:pPr>
        <w:pStyle w:val="Bezriadkovania"/>
        <w:numPr>
          <w:ilvl w:val="0"/>
          <w:numId w:val="24"/>
        </w:numPr>
      </w:pPr>
      <w:r w:rsidRPr="00375341">
        <w:t>dostal pomoc na reštrukturalizáciu a stále podlieha reštrukturalizačnému plánu.</w:t>
      </w:r>
    </w:p>
    <w:p w14:paraId="5D0144DC" w14:textId="77777777" w:rsidR="004E2822" w:rsidRPr="00375341" w:rsidRDefault="004E2822" w:rsidP="00840806">
      <w:pPr>
        <w:pStyle w:val="Bezriadkovania"/>
      </w:pPr>
    </w:p>
    <w:p w14:paraId="79E2A204" w14:textId="609096FC" w:rsidR="00840806" w:rsidRPr="00375341" w:rsidRDefault="00840806" w:rsidP="00840806">
      <w:pPr>
        <w:pStyle w:val="Bezriadkovania"/>
      </w:pPr>
      <w:r w:rsidRPr="00375341">
        <w:t>Toto kritérium sa neviaže na žiadne referenčné obdobie.</w:t>
      </w:r>
    </w:p>
    <w:p w14:paraId="76BD4DA1" w14:textId="08F96A76" w:rsidR="004E2822" w:rsidRPr="00375341" w:rsidRDefault="004E2822" w:rsidP="00840806">
      <w:pPr>
        <w:pStyle w:val="Bezriadkovania"/>
      </w:pPr>
    </w:p>
    <w:p w14:paraId="066E6725" w14:textId="49EEE542" w:rsidR="00840806" w:rsidRPr="00375341" w:rsidRDefault="00840806" w:rsidP="004E2822">
      <w:pPr>
        <w:pStyle w:val="Nadpis2"/>
      </w:pPr>
      <w:bookmarkStart w:id="23" w:name="_Toc131174982"/>
      <w:r w:rsidRPr="00375341">
        <w:t>Kritérium E</w:t>
      </w:r>
      <w:bookmarkEnd w:id="23"/>
    </w:p>
    <w:p w14:paraId="6CDDDF14" w14:textId="77777777" w:rsidR="004E2822" w:rsidRPr="00375341" w:rsidRDefault="004E2822" w:rsidP="00840806">
      <w:pPr>
        <w:pStyle w:val="Bezriadkovania"/>
      </w:pPr>
    </w:p>
    <w:p w14:paraId="5477BB4D" w14:textId="77777777" w:rsidR="00840806" w:rsidRPr="00375341" w:rsidRDefault="00840806" w:rsidP="00840806">
      <w:pPr>
        <w:pStyle w:val="Bezriadkovania"/>
      </w:pPr>
      <w:r w:rsidRPr="00375341">
        <w:t>Kritérium E sa uplatňuje na veľké podniky.</w:t>
      </w:r>
    </w:p>
    <w:p w14:paraId="1059500B" w14:textId="1F7B81C7" w:rsidR="00840806" w:rsidRPr="00375341" w:rsidRDefault="00840806" w:rsidP="00840806">
      <w:pPr>
        <w:pStyle w:val="Bezriadkovania"/>
      </w:pPr>
      <w:r w:rsidRPr="00375341">
        <w:t>Kritérium E sa posudzuje za bežné referenčné obdobie a predchádzajúce referenčné obdobie.</w:t>
      </w:r>
    </w:p>
    <w:p w14:paraId="602E6BC2" w14:textId="77777777" w:rsidR="004E2822" w:rsidRPr="00375341" w:rsidRDefault="004E2822" w:rsidP="00840806">
      <w:pPr>
        <w:pStyle w:val="Bezriadkovania"/>
      </w:pPr>
    </w:p>
    <w:p w14:paraId="4D606C05" w14:textId="6078E377" w:rsidR="00840806" w:rsidRPr="00375341" w:rsidRDefault="00840806" w:rsidP="00840806">
      <w:pPr>
        <w:pStyle w:val="Bezriadkovania"/>
      </w:pPr>
      <w:r w:rsidRPr="00375341">
        <w:t>Kritérium E sa ďalej člení na kritériá E.I a E.II.</w:t>
      </w:r>
      <w:r w:rsidR="00017CC7">
        <w:t xml:space="preserve"> </w:t>
      </w:r>
      <w:r w:rsidR="00017CC7" w:rsidRPr="000D1551">
        <w:rPr>
          <w:rFonts w:cstheme="minorHAnsi"/>
        </w:rPr>
        <w:t>Tieto kritéria musia byť splnené kumulatívne, a to za obe referenčné obdobia.</w:t>
      </w:r>
    </w:p>
    <w:p w14:paraId="07FADD26" w14:textId="77777777" w:rsidR="004E2822" w:rsidRPr="00375341" w:rsidRDefault="004E2822" w:rsidP="00840806">
      <w:pPr>
        <w:pStyle w:val="Bezriadkovania"/>
      </w:pPr>
    </w:p>
    <w:p w14:paraId="071CD43C" w14:textId="0B1DC72D" w:rsidR="00840806" w:rsidRPr="00375341" w:rsidRDefault="00840806" w:rsidP="00840806">
      <w:pPr>
        <w:pStyle w:val="Bezriadkovania"/>
      </w:pPr>
      <w:r w:rsidRPr="00375341">
        <w:lastRenderedPageBreak/>
        <w:t xml:space="preserve">Kritérium E.I </w:t>
      </w:r>
      <w:r w:rsidR="00017CC7" w:rsidRPr="000D1551">
        <w:rPr>
          <w:rFonts w:cstheme="minorHAnsi"/>
        </w:rPr>
        <w:t xml:space="preserve">nazývame miera zadlženosti podniku (MZ) a </w:t>
      </w:r>
      <w:r w:rsidRPr="00375341">
        <w:t>posudzuje účtovný pomer dlhu podniku k vlastnému kapitálu, ktorý sa určí nasledovne:</w:t>
      </w:r>
    </w:p>
    <w:p w14:paraId="439B7DC0" w14:textId="77777777" w:rsidR="004E2822" w:rsidRPr="00375341" w:rsidRDefault="004E2822" w:rsidP="00840806">
      <w:pPr>
        <w:pStyle w:val="Bezriadkovania"/>
      </w:pPr>
    </w:p>
    <w:p w14:paraId="7806C228" w14:textId="77777777" w:rsidR="00840806" w:rsidRPr="00375341" w:rsidRDefault="00840806" w:rsidP="00840806">
      <w:pPr>
        <w:pStyle w:val="Bezriadkovania"/>
      </w:pPr>
      <m:oMathPara>
        <m:oMath>
          <m:r>
            <w:rPr>
              <w:rFonts w:ascii="Cambria Math" w:hAnsi="Cambria Math"/>
            </w:rPr>
            <m:t xml:space="preserve">MZ= </m:t>
          </m:r>
          <m:f>
            <m:fPr>
              <m:ctrlPr>
                <w:rPr>
                  <w:rFonts w:ascii="Cambria Math" w:hAnsi="Cambria Math"/>
                  <w:i/>
                </w:rPr>
              </m:ctrlPr>
            </m:fPr>
            <m:num>
              <m:r>
                <w:rPr>
                  <w:rFonts w:ascii="Cambria Math" w:hAnsi="Cambria Math"/>
                </w:rPr>
                <m:t>Celkové záväzky podniku</m:t>
              </m:r>
            </m:num>
            <m:den>
              <m:r>
                <w:rPr>
                  <w:rFonts w:ascii="Cambria Math" w:hAnsi="Cambria Math"/>
                </w:rPr>
                <m:t>Vlastné imanie</m:t>
              </m:r>
            </m:den>
          </m:f>
        </m:oMath>
      </m:oMathPara>
    </w:p>
    <w:p w14:paraId="6EF7676D" w14:textId="77777777" w:rsidR="004E2822" w:rsidRPr="00375341" w:rsidRDefault="004E2822" w:rsidP="00840806">
      <w:pPr>
        <w:pStyle w:val="Bezriadkovania"/>
      </w:pPr>
    </w:p>
    <w:p w14:paraId="1373C7A5" w14:textId="77777777" w:rsidR="00017CC7" w:rsidRPr="000D1551" w:rsidRDefault="00017CC7" w:rsidP="00017CC7">
      <w:pPr>
        <w:spacing w:after="0" w:line="257" w:lineRule="auto"/>
        <w:rPr>
          <w:rFonts w:cstheme="minorHAnsi"/>
        </w:rPr>
      </w:pPr>
      <w:r w:rsidRPr="000D1551">
        <w:rPr>
          <w:rFonts w:cstheme="minorHAnsi"/>
        </w:rPr>
        <w:t xml:space="preserve">Ide o ukazovateľ podniku na posúdenie miery zadlženosti podniku, ktorá sa počíta ako podiel celkových záväzkov podniku k hodnote vlastného imania podniku. </w:t>
      </w:r>
    </w:p>
    <w:p w14:paraId="5BBECDB2" w14:textId="77777777" w:rsidR="00017CC7" w:rsidRPr="000D1551" w:rsidRDefault="00017CC7" w:rsidP="00017CC7">
      <w:pPr>
        <w:spacing w:after="0" w:line="257" w:lineRule="auto"/>
        <w:rPr>
          <w:rFonts w:cstheme="minorHAnsi"/>
        </w:rPr>
      </w:pPr>
    </w:p>
    <w:p w14:paraId="7B154921" w14:textId="04C6D08E" w:rsidR="00017CC7" w:rsidRDefault="00017CC7" w:rsidP="00017CC7">
      <w:pPr>
        <w:pStyle w:val="Bezriadkovania"/>
        <w:rPr>
          <w:rFonts w:cstheme="minorHAnsi"/>
        </w:rPr>
      </w:pPr>
      <w:r w:rsidRPr="000D1551">
        <w:rPr>
          <w:rFonts w:cstheme="minorHAnsi"/>
        </w:rPr>
        <w:t>Celkové záväzky podniku na tieto účely zahŕňajú všetky dlhodobé ako aj krátkodobé záväzky</w:t>
      </w:r>
      <w:r>
        <w:rPr>
          <w:rFonts w:cstheme="minorHAnsi"/>
        </w:rPr>
        <w:t>,</w:t>
      </w:r>
      <w:r w:rsidRPr="000D1551">
        <w:rPr>
          <w:rFonts w:cstheme="minorHAnsi"/>
        </w:rPr>
        <w:t xml:space="preserve"> a to vrátane záväzkov z obchodného styku ako aj hodnotu bankových úverov a finančných výpomocí, ktoré podnik prijal.</w:t>
      </w:r>
      <w:r>
        <w:rPr>
          <w:rFonts w:cstheme="minorHAnsi"/>
        </w:rPr>
        <w:t xml:space="preserve"> Pri subjektoch, ktorými sú štátne rozpočtové a štátne príspevkové organizácie, mestá, obce, vyššie územné celky a ich rozpočtové a príspevkové organizácie, je pred započítaním záväzkov vyplývajúcich z transferov zo štátneho rozpočtu</w:t>
      </w:r>
      <w:r w:rsidRPr="00983609">
        <w:rPr>
          <w:rStyle w:val="Odkaznapoznmkupodiarou"/>
        </w:rPr>
        <w:footnoteReference w:id="17"/>
      </w:r>
      <w:r>
        <w:rPr>
          <w:rFonts w:cstheme="minorHAnsi"/>
        </w:rPr>
        <w:t xml:space="preserve"> možné zohľadniť ich povahu z hľadiska ich vplyvu na hospodársku situáciu takéhoto subjektu.</w:t>
      </w:r>
    </w:p>
    <w:p w14:paraId="5A3B77BB" w14:textId="77777777" w:rsidR="00017CC7" w:rsidRDefault="00017CC7" w:rsidP="00017CC7">
      <w:pPr>
        <w:pStyle w:val="Bezriadkovania"/>
      </w:pPr>
    </w:p>
    <w:p w14:paraId="365379DC" w14:textId="07A62E52" w:rsidR="00840806" w:rsidRPr="00375341" w:rsidRDefault="00840806" w:rsidP="00840806">
      <w:pPr>
        <w:pStyle w:val="Bezriadkovania"/>
      </w:pPr>
      <w:r w:rsidRPr="00375341">
        <w:t xml:space="preserve">Kritérium E.II </w:t>
      </w:r>
      <w:r w:rsidR="00017CC7" w:rsidRPr="000D1551">
        <w:rPr>
          <w:rFonts w:cstheme="minorHAnsi"/>
        </w:rPr>
        <w:t xml:space="preserve">nazývame úrokové krytie počítané z EBITDA (ÚK) </w:t>
      </w:r>
      <w:r w:rsidR="00017CC7">
        <w:rPr>
          <w:rFonts w:cstheme="minorHAnsi"/>
        </w:rPr>
        <w:t xml:space="preserve">a </w:t>
      </w:r>
      <w:r w:rsidRPr="00375341">
        <w:t>posudzuje pomer EBITDA podniku k úrokovému krytiu</w:t>
      </w:r>
      <w:r w:rsidR="00017CC7">
        <w:t>.</w:t>
      </w:r>
      <w:r w:rsidRPr="00375341">
        <w:t xml:space="preserve"> </w:t>
      </w:r>
      <w:r w:rsidR="00017CC7" w:rsidRPr="000D1551">
        <w:rPr>
          <w:rFonts w:cstheme="minorHAnsi"/>
        </w:rPr>
        <w:t xml:space="preserve">EBITDA je hospodársky výsledok podniku za účtovné obdobie pred zdanením navýšený o nákladové úroky, odpisy a opravné položky. </w:t>
      </w:r>
      <w:r w:rsidR="00017CC7">
        <w:rPr>
          <w:rFonts w:cstheme="minorHAnsi"/>
        </w:rPr>
        <w:t xml:space="preserve">ÚK </w:t>
      </w:r>
      <w:r w:rsidRPr="00375341">
        <w:t>sa určí nasledovne:</w:t>
      </w:r>
    </w:p>
    <w:p w14:paraId="6410BC3C" w14:textId="77777777" w:rsidR="004E2822" w:rsidRPr="00375341" w:rsidRDefault="004E2822" w:rsidP="00840806">
      <w:pPr>
        <w:pStyle w:val="Bezriadkovania"/>
      </w:pPr>
    </w:p>
    <w:p w14:paraId="3B76B42E" w14:textId="77777777" w:rsidR="00840806" w:rsidRPr="00375341" w:rsidRDefault="00840806" w:rsidP="00840806">
      <w:pPr>
        <w:pStyle w:val="Bezriadkovania"/>
      </w:pPr>
      <m:oMathPara>
        <m:oMath>
          <m:r>
            <w:rPr>
              <w:rFonts w:ascii="Cambria Math" w:hAnsi="Cambria Math"/>
            </w:rPr>
            <m:t xml:space="preserve">UK= </m:t>
          </m:r>
          <m:f>
            <m:fPr>
              <m:ctrlPr>
                <w:rPr>
                  <w:rFonts w:ascii="Cambria Math" w:hAnsi="Cambria Math"/>
                  <w:i/>
                </w:rPr>
              </m:ctrlPr>
            </m:fPr>
            <m:num>
              <m:r>
                <w:rPr>
                  <w:rFonts w:ascii="Cambria Math" w:hAnsi="Cambria Math"/>
                </w:rPr>
                <m:t>EBITDA</m:t>
              </m:r>
            </m:num>
            <m:den>
              <m:r>
                <w:rPr>
                  <w:rFonts w:ascii="Cambria Math" w:hAnsi="Cambria Math"/>
                </w:rPr>
                <m:t>nákladové úroky</m:t>
              </m:r>
            </m:den>
          </m:f>
        </m:oMath>
      </m:oMathPara>
    </w:p>
    <w:p w14:paraId="53EB1895" w14:textId="77777777" w:rsidR="00840806" w:rsidRPr="00375341" w:rsidRDefault="00840806" w:rsidP="00840806">
      <w:pPr>
        <w:pStyle w:val="Bezriadkovania"/>
      </w:pPr>
    </w:p>
    <w:p w14:paraId="7D1AFE17" w14:textId="77777777" w:rsidR="00840806" w:rsidRPr="00375341" w:rsidRDefault="00840806" w:rsidP="00840806">
      <w:pPr>
        <w:pStyle w:val="Bezriadkovania"/>
      </w:pPr>
      <w:r w:rsidRPr="00375341">
        <w:t>Podnik sa podľa kritéria E považuje za podnik v ťažkostiach, ak:</w:t>
      </w:r>
    </w:p>
    <w:p w14:paraId="0C546564" w14:textId="05D68F86" w:rsidR="00840806" w:rsidRPr="00375341" w:rsidRDefault="00840806" w:rsidP="004E2822">
      <w:pPr>
        <w:pStyle w:val="Bezriadkovania"/>
        <w:numPr>
          <w:ilvl w:val="0"/>
          <w:numId w:val="25"/>
        </w:numPr>
      </w:pPr>
      <w:r w:rsidRPr="00375341">
        <w:t>MZ je v oboch referenčných obdobiach väčší ako 7,5, alebo MZ je v oboch referenčných obdobiach menší ako 0, alebo MZ je v niektorom referenčnom období väčší ako 7,5 a v druhom referenčnom období menší ako 0. MZ sa považuje za väčší ako 7,5 aj v prípade, že ho nie je možné vypočítať z dôvodu, že vlastné imanie je rovné nule</w:t>
      </w:r>
      <w:r w:rsidR="00017CC7">
        <w:t xml:space="preserve"> a</w:t>
      </w:r>
    </w:p>
    <w:p w14:paraId="687A04A1" w14:textId="134CBDDB" w:rsidR="00017CC7" w:rsidRPr="00375341" w:rsidRDefault="00017CC7" w:rsidP="00017CC7">
      <w:pPr>
        <w:pStyle w:val="Bezriadkovania"/>
        <w:numPr>
          <w:ilvl w:val="0"/>
          <w:numId w:val="25"/>
        </w:numPr>
      </w:pPr>
      <w:r w:rsidRPr="00375341">
        <w:t>UK je v oboch referenčných obdobiach menší ako 1</w:t>
      </w:r>
      <w:r>
        <w:t>.</w:t>
      </w:r>
    </w:p>
    <w:p w14:paraId="740B4066" w14:textId="77777777" w:rsidR="004E2822" w:rsidRPr="00375341" w:rsidRDefault="004E2822" w:rsidP="004E2822">
      <w:pPr>
        <w:pStyle w:val="Bezriadkovania"/>
        <w:ind w:left="720"/>
      </w:pPr>
    </w:p>
    <w:p w14:paraId="1CC25ABD" w14:textId="4C4F7B16" w:rsidR="00840806" w:rsidRPr="00375341" w:rsidRDefault="00840806" w:rsidP="00840806">
      <w:pPr>
        <w:pStyle w:val="Bezriadkovania"/>
      </w:pPr>
      <w:r w:rsidRPr="00375341">
        <w:t>Podnik sa podľa kritéria E nepovažuje za podnik v ťažkostiach, ak je hodnota nákladových úrokov v niektorom referenčnom období rovná nul</w:t>
      </w:r>
      <w:r w:rsidR="004925D6" w:rsidRPr="00375341">
        <w:t>e</w:t>
      </w:r>
      <w:r w:rsidRPr="00375341">
        <w:t>.</w:t>
      </w:r>
      <w:r w:rsidR="00017CC7">
        <w:t xml:space="preserve"> </w:t>
      </w:r>
      <w:r w:rsidR="00017CC7" w:rsidRPr="00B11344">
        <w:rPr>
          <w:rFonts w:cstheme="minorHAnsi"/>
        </w:rPr>
        <w:t xml:space="preserve">Dôvodom je, že v takomto prípade nemôžu byť splnené obe </w:t>
      </w:r>
      <w:proofErr w:type="spellStart"/>
      <w:r w:rsidR="00017CC7" w:rsidRPr="00B11344">
        <w:rPr>
          <w:rFonts w:cstheme="minorHAnsi"/>
        </w:rPr>
        <w:t>podkritériá</w:t>
      </w:r>
      <w:proofErr w:type="spellEnd"/>
      <w:r w:rsidR="00017CC7" w:rsidRPr="00B11344">
        <w:rPr>
          <w:rFonts w:cstheme="minorHAnsi"/>
        </w:rPr>
        <w:t xml:space="preserve"> v oboch referenčných obdobiach, pretože ukazovateľ ÚK nie je možné vypočítať (delenie nulou).</w:t>
      </w:r>
    </w:p>
    <w:p w14:paraId="671FBAFB" w14:textId="77777777" w:rsidR="00840806" w:rsidRPr="00375341" w:rsidRDefault="00840806" w:rsidP="00840806">
      <w:pPr>
        <w:pStyle w:val="Bezriadkovania"/>
        <w:sectPr w:rsidR="00840806" w:rsidRPr="00375341" w:rsidSect="0063091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47552379" w14:textId="6EF53FEE" w:rsidR="00840806" w:rsidRPr="00375341" w:rsidRDefault="00840806" w:rsidP="004E2822">
      <w:pPr>
        <w:pStyle w:val="Nadpis2"/>
      </w:pPr>
      <w:bookmarkStart w:id="24" w:name="_Toc101876980"/>
      <w:bookmarkStart w:id="25" w:name="_Toc101878492"/>
      <w:bookmarkStart w:id="26" w:name="_Toc131174983"/>
      <w:bookmarkEnd w:id="24"/>
      <w:bookmarkEnd w:id="25"/>
      <w:r w:rsidRPr="00375341">
        <w:lastRenderedPageBreak/>
        <w:t>Vymedzenie vstupných údajov</w:t>
      </w:r>
      <w:bookmarkEnd w:id="26"/>
    </w:p>
    <w:p w14:paraId="51A29083" w14:textId="77777777" w:rsidR="00836751" w:rsidRPr="00375341" w:rsidRDefault="00836751" w:rsidP="00836751"/>
    <w:p w14:paraId="283EAF34" w14:textId="090FDC4C" w:rsidR="00840806" w:rsidRPr="00375341" w:rsidRDefault="00840806" w:rsidP="00840806">
      <w:pPr>
        <w:pStyle w:val="Bezriadkovania"/>
      </w:pPr>
      <w:bookmarkStart w:id="27" w:name="_Ref94688678"/>
      <w:bookmarkStart w:id="28" w:name="_Ref94688728"/>
      <w:r w:rsidRPr="00375341">
        <w:t xml:space="preserve">Tabuľka </w:t>
      </w:r>
      <w:r w:rsidRPr="00375341">
        <w:fldChar w:fldCharType="begin"/>
      </w:r>
      <w:r w:rsidRPr="00375341">
        <w:instrText>SEQ Tabuľka \* ARABIC</w:instrText>
      </w:r>
      <w:r w:rsidRPr="00375341">
        <w:fldChar w:fldCharType="separate"/>
      </w:r>
      <w:r w:rsidR="002F00B6">
        <w:rPr>
          <w:noProof/>
        </w:rPr>
        <w:t>1</w:t>
      </w:r>
      <w:r w:rsidRPr="00375341">
        <w:fldChar w:fldCharType="end"/>
      </w:r>
      <w:bookmarkEnd w:id="27"/>
      <w:r w:rsidRPr="00375341">
        <w:t xml:space="preserve"> Vstupné údaje pre jednotlivé výpočty</w:t>
      </w:r>
      <w:bookmarkEnd w:id="28"/>
    </w:p>
    <w:tbl>
      <w:tblPr>
        <w:tblW w:w="15982" w:type="dxa"/>
        <w:jc w:val="center"/>
        <w:tblLayout w:type="fixed"/>
        <w:tblCellMar>
          <w:left w:w="70" w:type="dxa"/>
          <w:right w:w="70" w:type="dxa"/>
        </w:tblCellMar>
        <w:tblLook w:val="04A0" w:firstRow="1" w:lastRow="0" w:firstColumn="1" w:lastColumn="0" w:noHBand="0" w:noVBand="1"/>
      </w:tblPr>
      <w:tblGrid>
        <w:gridCol w:w="1997"/>
        <w:gridCol w:w="1998"/>
        <w:gridCol w:w="1998"/>
        <w:gridCol w:w="1997"/>
        <w:gridCol w:w="1998"/>
        <w:gridCol w:w="1998"/>
        <w:gridCol w:w="1998"/>
        <w:gridCol w:w="1998"/>
      </w:tblGrid>
      <w:tr w:rsidR="00017CC7" w:rsidRPr="00375341" w14:paraId="101622C9" w14:textId="6EE18947" w:rsidTr="009E0C4D">
        <w:trPr>
          <w:trHeight w:val="154"/>
          <w:jc w:val="center"/>
        </w:trPr>
        <w:tc>
          <w:tcPr>
            <w:tcW w:w="1997" w:type="dxa"/>
            <w:tcBorders>
              <w:top w:val="single" w:sz="8" w:space="0" w:color="auto"/>
              <w:left w:val="single" w:sz="8" w:space="0" w:color="auto"/>
              <w:bottom w:val="single" w:sz="4" w:space="0" w:color="auto"/>
              <w:right w:val="single" w:sz="4" w:space="0" w:color="auto"/>
            </w:tcBorders>
            <w:shd w:val="clear" w:color="000000" w:fill="A6A6A6"/>
            <w:noWrap/>
            <w:vAlign w:val="center"/>
          </w:tcPr>
          <w:p w14:paraId="07D413FE" w14:textId="77777777" w:rsidR="00017CC7" w:rsidRPr="00375341" w:rsidDel="003F127A" w:rsidRDefault="00017CC7" w:rsidP="00017CC7">
            <w:pPr>
              <w:pStyle w:val="Bezriadkovania"/>
            </w:pPr>
            <w:r w:rsidRPr="00375341">
              <w:t>Vzor tlačív</w:t>
            </w:r>
          </w:p>
        </w:tc>
        <w:tc>
          <w:tcPr>
            <w:tcW w:w="1998" w:type="dxa"/>
            <w:tcBorders>
              <w:top w:val="single" w:sz="8" w:space="0" w:color="auto"/>
              <w:left w:val="nil"/>
              <w:bottom w:val="single" w:sz="4" w:space="0" w:color="auto"/>
              <w:right w:val="single" w:sz="4" w:space="0" w:color="auto"/>
            </w:tcBorders>
            <w:shd w:val="clear" w:color="000000" w:fill="A6A6A6"/>
            <w:noWrap/>
            <w:vAlign w:val="center"/>
          </w:tcPr>
          <w:p w14:paraId="6E0FB04B" w14:textId="77777777" w:rsidR="00017CC7" w:rsidRPr="00375341" w:rsidRDefault="00017CC7" w:rsidP="00017CC7">
            <w:pPr>
              <w:pStyle w:val="Bezriadkovania"/>
            </w:pPr>
            <w:r w:rsidRPr="00375341">
              <w:t>Účtovná závierka podnikateľov v podvojnom účtovníctve UZPODv14_1</w:t>
            </w:r>
          </w:p>
        </w:tc>
        <w:tc>
          <w:tcPr>
            <w:tcW w:w="1998" w:type="dxa"/>
            <w:tcBorders>
              <w:top w:val="single" w:sz="8" w:space="0" w:color="auto"/>
              <w:left w:val="nil"/>
              <w:bottom w:val="single" w:sz="4" w:space="0" w:color="auto"/>
              <w:right w:val="single" w:sz="8" w:space="0" w:color="auto"/>
            </w:tcBorders>
            <w:shd w:val="clear" w:color="000000" w:fill="A6A6A6"/>
            <w:noWrap/>
            <w:vAlign w:val="center"/>
          </w:tcPr>
          <w:p w14:paraId="6AEB0FD9" w14:textId="77777777" w:rsidR="00017CC7" w:rsidRPr="00375341" w:rsidRDefault="00017CC7" w:rsidP="00017CC7">
            <w:pPr>
              <w:pStyle w:val="Bezriadkovania"/>
            </w:pPr>
            <w:r w:rsidRPr="00375341">
              <w:t xml:space="preserve">Účtovná závierka </w:t>
            </w:r>
            <w:proofErr w:type="spellStart"/>
            <w:r w:rsidRPr="00375341">
              <w:t>mikro</w:t>
            </w:r>
            <w:proofErr w:type="spellEnd"/>
            <w:r w:rsidRPr="00375341">
              <w:t xml:space="preserve"> účtovnej jednotky UZMUJv14_1</w:t>
            </w:r>
          </w:p>
        </w:tc>
        <w:tc>
          <w:tcPr>
            <w:tcW w:w="1997" w:type="dxa"/>
            <w:tcBorders>
              <w:top w:val="single" w:sz="8" w:space="0" w:color="auto"/>
              <w:left w:val="nil"/>
              <w:bottom w:val="single" w:sz="4" w:space="0" w:color="auto"/>
              <w:right w:val="single" w:sz="8" w:space="0" w:color="auto"/>
            </w:tcBorders>
            <w:shd w:val="clear" w:color="000000" w:fill="A6A6A6"/>
            <w:vAlign w:val="center"/>
          </w:tcPr>
          <w:p w14:paraId="56CBF988" w14:textId="77777777" w:rsidR="00017CC7" w:rsidRPr="00375341" w:rsidRDefault="00017CC7" w:rsidP="00017CC7">
            <w:pPr>
              <w:pStyle w:val="Bezriadkovania"/>
            </w:pPr>
            <w:r w:rsidRPr="00375341">
              <w:t>Účtovná závierka v jednoduchom účtovníctve UZFOv14_1</w:t>
            </w:r>
          </w:p>
        </w:tc>
        <w:tc>
          <w:tcPr>
            <w:tcW w:w="1998" w:type="dxa"/>
            <w:tcBorders>
              <w:top w:val="single" w:sz="8" w:space="0" w:color="auto"/>
              <w:left w:val="nil"/>
              <w:bottom w:val="single" w:sz="4" w:space="0" w:color="auto"/>
              <w:right w:val="single" w:sz="8" w:space="0" w:color="auto"/>
            </w:tcBorders>
            <w:shd w:val="clear" w:color="000000" w:fill="A6A6A6"/>
            <w:vAlign w:val="center"/>
          </w:tcPr>
          <w:p w14:paraId="6A30C06D" w14:textId="77777777" w:rsidR="00017CC7" w:rsidRPr="00375341" w:rsidRDefault="00017CC7" w:rsidP="00017CC7">
            <w:pPr>
              <w:pStyle w:val="Bezriadkovania"/>
            </w:pPr>
            <w:r w:rsidRPr="00375341">
              <w:t xml:space="preserve">Súvaha </w:t>
            </w:r>
            <w:proofErr w:type="spellStart"/>
            <w:r w:rsidRPr="00375341">
              <w:t>Úč</w:t>
            </w:r>
            <w:proofErr w:type="spellEnd"/>
            <w:r w:rsidRPr="00375341">
              <w:t xml:space="preserve"> ROPO SFOV  1 – 01</w:t>
            </w:r>
          </w:p>
          <w:p w14:paraId="6B53169F" w14:textId="77777777" w:rsidR="00017CC7" w:rsidRPr="00375341" w:rsidRDefault="00017CC7" w:rsidP="00017CC7">
            <w:pPr>
              <w:pStyle w:val="Bezriadkovania"/>
            </w:pPr>
            <w:r w:rsidRPr="00375341">
              <w:t xml:space="preserve">Výkaz ziskov a strát </w:t>
            </w:r>
            <w:proofErr w:type="spellStart"/>
            <w:r w:rsidRPr="00375341">
              <w:t>Úč</w:t>
            </w:r>
            <w:proofErr w:type="spellEnd"/>
            <w:r w:rsidRPr="00375341">
              <w:t xml:space="preserve"> ROPO SFOV 2 - 01</w:t>
            </w:r>
          </w:p>
        </w:tc>
        <w:tc>
          <w:tcPr>
            <w:tcW w:w="1998" w:type="dxa"/>
            <w:tcBorders>
              <w:top w:val="single" w:sz="8" w:space="0" w:color="auto"/>
              <w:left w:val="nil"/>
              <w:bottom w:val="single" w:sz="4" w:space="0" w:color="auto"/>
              <w:right w:val="single" w:sz="8" w:space="0" w:color="auto"/>
            </w:tcBorders>
            <w:shd w:val="clear" w:color="000000" w:fill="A6A6A6"/>
            <w:vAlign w:val="center"/>
          </w:tcPr>
          <w:p w14:paraId="6D97C9B8" w14:textId="77777777" w:rsidR="00017CC7" w:rsidRPr="00375341" w:rsidRDefault="00017CC7" w:rsidP="00017CC7">
            <w:pPr>
              <w:pStyle w:val="Bezriadkovania"/>
            </w:pPr>
            <w:r w:rsidRPr="00375341">
              <w:t>Účtovná závierka neziskovej účtovnej jednotky v sústave podvojného účtovníctva UZNUJ_1</w:t>
            </w:r>
          </w:p>
        </w:tc>
        <w:tc>
          <w:tcPr>
            <w:tcW w:w="1998" w:type="dxa"/>
            <w:tcBorders>
              <w:top w:val="single" w:sz="8" w:space="0" w:color="auto"/>
              <w:left w:val="nil"/>
              <w:bottom w:val="single" w:sz="4" w:space="0" w:color="auto"/>
              <w:right w:val="single" w:sz="8" w:space="0" w:color="auto"/>
            </w:tcBorders>
            <w:shd w:val="clear" w:color="000000" w:fill="A6A6A6"/>
            <w:vAlign w:val="center"/>
          </w:tcPr>
          <w:p w14:paraId="732290B3" w14:textId="77777777" w:rsidR="00017CC7" w:rsidRPr="00375341" w:rsidRDefault="00017CC7" w:rsidP="00017CC7">
            <w:pPr>
              <w:pStyle w:val="Bezriadkovania"/>
            </w:pPr>
            <w:r w:rsidRPr="00375341">
              <w:t>Účtovná závierka neziskovej účtovnej jednotky v sústave jednoduchého účtovníctva UZNO_1</w:t>
            </w:r>
          </w:p>
        </w:tc>
        <w:tc>
          <w:tcPr>
            <w:tcW w:w="1998" w:type="dxa"/>
            <w:tcBorders>
              <w:top w:val="single" w:sz="8" w:space="0" w:color="auto"/>
              <w:left w:val="nil"/>
              <w:bottom w:val="single" w:sz="4" w:space="0" w:color="auto"/>
              <w:right w:val="single" w:sz="8" w:space="0" w:color="auto"/>
            </w:tcBorders>
            <w:shd w:val="clear" w:color="000000" w:fill="A6A6A6"/>
            <w:vAlign w:val="center"/>
          </w:tcPr>
          <w:p w14:paraId="02286011" w14:textId="77777777" w:rsidR="00017CC7" w:rsidRPr="000D1551" w:rsidRDefault="00017CC7" w:rsidP="00017CC7">
            <w:pPr>
              <w:spacing w:after="0" w:line="257" w:lineRule="auto"/>
              <w:rPr>
                <w:rFonts w:cstheme="minorHAnsi"/>
              </w:rPr>
            </w:pPr>
            <w:r w:rsidRPr="000D1551">
              <w:rPr>
                <w:rFonts w:cstheme="minorHAnsi"/>
              </w:rPr>
              <w:t>Daňová evidencia</w:t>
            </w:r>
          </w:p>
          <w:p w14:paraId="5D5C628D" w14:textId="61FA1F33" w:rsidR="00017CC7" w:rsidRPr="00375341" w:rsidRDefault="00017CC7" w:rsidP="00017CC7">
            <w:pPr>
              <w:pStyle w:val="Bezriadkovania"/>
            </w:pPr>
            <w:r w:rsidRPr="000D1551">
              <w:rPr>
                <w:rFonts w:cstheme="minorHAnsi"/>
              </w:rPr>
              <w:t>Daňové priznanie FO, typ B, IV oddiel</w:t>
            </w:r>
          </w:p>
        </w:tc>
      </w:tr>
      <w:tr w:rsidR="00017CC7" w:rsidRPr="00375341" w14:paraId="5715FEBD" w14:textId="3C3D9B82" w:rsidTr="009E0C4D">
        <w:trPr>
          <w:trHeight w:val="154"/>
          <w:jc w:val="center"/>
        </w:trPr>
        <w:tc>
          <w:tcPr>
            <w:tcW w:w="19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C4120F5" w14:textId="77777777" w:rsidR="00017CC7" w:rsidRPr="00375341" w:rsidRDefault="00017CC7" w:rsidP="00017CC7">
            <w:pPr>
              <w:pStyle w:val="Bezriadkovania"/>
            </w:pPr>
            <w:r w:rsidRPr="00375341">
              <w:t>Celkové záväzky podniku</w:t>
            </w:r>
          </w:p>
        </w:tc>
        <w:tc>
          <w:tcPr>
            <w:tcW w:w="1998" w:type="dxa"/>
            <w:tcBorders>
              <w:top w:val="single" w:sz="8" w:space="0" w:color="auto"/>
              <w:left w:val="nil"/>
              <w:bottom w:val="single" w:sz="4" w:space="0" w:color="auto"/>
              <w:right w:val="single" w:sz="4" w:space="0" w:color="auto"/>
            </w:tcBorders>
            <w:shd w:val="clear" w:color="auto" w:fill="auto"/>
            <w:noWrap/>
            <w:vAlign w:val="center"/>
            <w:hideMark/>
          </w:tcPr>
          <w:p w14:paraId="299A29BA" w14:textId="77777777" w:rsidR="00017CC7" w:rsidRPr="00375341" w:rsidRDefault="00017CC7" w:rsidP="00017CC7">
            <w:pPr>
              <w:pStyle w:val="Bezriadkovania"/>
            </w:pPr>
            <w:r w:rsidRPr="00375341">
              <w:t>S_101</w:t>
            </w:r>
          </w:p>
        </w:tc>
        <w:tc>
          <w:tcPr>
            <w:tcW w:w="1998" w:type="dxa"/>
            <w:tcBorders>
              <w:top w:val="single" w:sz="8" w:space="0" w:color="auto"/>
              <w:left w:val="nil"/>
              <w:bottom w:val="single" w:sz="4" w:space="0" w:color="auto"/>
              <w:right w:val="single" w:sz="8" w:space="0" w:color="auto"/>
            </w:tcBorders>
            <w:shd w:val="clear" w:color="auto" w:fill="auto"/>
            <w:noWrap/>
            <w:vAlign w:val="center"/>
            <w:hideMark/>
          </w:tcPr>
          <w:p w14:paraId="1A3F8C6E" w14:textId="77777777" w:rsidR="00017CC7" w:rsidRPr="00375341" w:rsidRDefault="00017CC7" w:rsidP="00017CC7">
            <w:pPr>
              <w:pStyle w:val="Bezriadkovania"/>
            </w:pPr>
            <w:r w:rsidRPr="00375341">
              <w:t>S_34</w:t>
            </w:r>
          </w:p>
        </w:tc>
        <w:tc>
          <w:tcPr>
            <w:tcW w:w="1997" w:type="dxa"/>
            <w:tcBorders>
              <w:top w:val="single" w:sz="8" w:space="0" w:color="auto"/>
              <w:left w:val="nil"/>
              <w:bottom w:val="single" w:sz="4" w:space="0" w:color="auto"/>
              <w:right w:val="single" w:sz="8" w:space="0" w:color="auto"/>
            </w:tcBorders>
            <w:vAlign w:val="center"/>
          </w:tcPr>
          <w:p w14:paraId="12FB12DC" w14:textId="77777777" w:rsidR="00017CC7" w:rsidRPr="00375341" w:rsidRDefault="00017CC7" w:rsidP="00017CC7">
            <w:pPr>
              <w:pStyle w:val="Bezriadkovania"/>
            </w:pPr>
            <w:r w:rsidRPr="00375341">
              <w:t>MaZ_20</w:t>
            </w:r>
          </w:p>
        </w:tc>
        <w:tc>
          <w:tcPr>
            <w:tcW w:w="1998" w:type="dxa"/>
            <w:tcBorders>
              <w:top w:val="single" w:sz="8" w:space="0" w:color="auto"/>
              <w:left w:val="nil"/>
              <w:bottom w:val="single" w:sz="4" w:space="0" w:color="auto"/>
              <w:right w:val="single" w:sz="8" w:space="0" w:color="auto"/>
            </w:tcBorders>
            <w:vAlign w:val="center"/>
          </w:tcPr>
          <w:p w14:paraId="450F2C8E" w14:textId="77777777" w:rsidR="00017CC7" w:rsidRPr="00375341" w:rsidRDefault="00017CC7" w:rsidP="00017CC7">
            <w:pPr>
              <w:pStyle w:val="Bezriadkovania"/>
            </w:pPr>
            <w:r w:rsidRPr="00375341">
              <w:t>S_126</w:t>
            </w:r>
          </w:p>
        </w:tc>
        <w:tc>
          <w:tcPr>
            <w:tcW w:w="1998" w:type="dxa"/>
            <w:tcBorders>
              <w:top w:val="single" w:sz="8" w:space="0" w:color="auto"/>
              <w:left w:val="nil"/>
              <w:bottom w:val="single" w:sz="4" w:space="0" w:color="auto"/>
              <w:right w:val="single" w:sz="8" w:space="0" w:color="auto"/>
            </w:tcBorders>
            <w:vAlign w:val="center"/>
          </w:tcPr>
          <w:p w14:paraId="722D2AFC" w14:textId="77777777" w:rsidR="00017CC7" w:rsidRPr="00375341" w:rsidRDefault="00017CC7" w:rsidP="00017CC7">
            <w:pPr>
              <w:pStyle w:val="Bezriadkovania"/>
            </w:pPr>
            <w:r w:rsidRPr="00375341">
              <w:t>S_074</w:t>
            </w:r>
          </w:p>
        </w:tc>
        <w:tc>
          <w:tcPr>
            <w:tcW w:w="1998" w:type="dxa"/>
            <w:tcBorders>
              <w:top w:val="single" w:sz="8" w:space="0" w:color="auto"/>
              <w:left w:val="nil"/>
              <w:bottom w:val="single" w:sz="4" w:space="0" w:color="auto"/>
              <w:right w:val="single" w:sz="8" w:space="0" w:color="auto"/>
            </w:tcBorders>
            <w:vAlign w:val="center"/>
          </w:tcPr>
          <w:p w14:paraId="49D6F8DC" w14:textId="77777777" w:rsidR="00017CC7" w:rsidRPr="00375341" w:rsidRDefault="00017CC7" w:rsidP="00017CC7">
            <w:pPr>
              <w:pStyle w:val="Bezriadkovania"/>
            </w:pPr>
            <w:r w:rsidRPr="00375341">
              <w:t>MaZ_16</w:t>
            </w:r>
          </w:p>
        </w:tc>
        <w:tc>
          <w:tcPr>
            <w:tcW w:w="1998" w:type="dxa"/>
            <w:tcBorders>
              <w:top w:val="single" w:sz="8" w:space="0" w:color="auto"/>
              <w:left w:val="nil"/>
              <w:bottom w:val="single" w:sz="4" w:space="0" w:color="auto"/>
              <w:right w:val="single" w:sz="8" w:space="0" w:color="auto"/>
            </w:tcBorders>
            <w:vAlign w:val="center"/>
          </w:tcPr>
          <w:p w14:paraId="22838D5D" w14:textId="538BDC1E" w:rsidR="00017CC7" w:rsidRPr="00375341" w:rsidRDefault="00017CC7" w:rsidP="00017CC7">
            <w:pPr>
              <w:pStyle w:val="Bezriadkovania"/>
            </w:pPr>
            <w:r w:rsidRPr="000D1551">
              <w:rPr>
                <w:rFonts w:cstheme="minorHAnsi"/>
              </w:rPr>
              <w:t xml:space="preserve">T1a_St2_R5 </w:t>
            </w:r>
          </w:p>
        </w:tc>
      </w:tr>
      <w:tr w:rsidR="00017CC7" w:rsidRPr="00375341" w14:paraId="2A57EDBD" w14:textId="2BD2F909" w:rsidTr="009E0C4D">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hideMark/>
          </w:tcPr>
          <w:p w14:paraId="01DA8B4E" w14:textId="77777777" w:rsidR="00017CC7" w:rsidRPr="00375341" w:rsidRDefault="00017CC7" w:rsidP="00017CC7">
            <w:pPr>
              <w:pStyle w:val="Bezriadkovania"/>
            </w:pPr>
            <w:r w:rsidRPr="00375341">
              <w:t>Vlastné imanie</w:t>
            </w:r>
          </w:p>
        </w:tc>
        <w:tc>
          <w:tcPr>
            <w:tcW w:w="1998" w:type="dxa"/>
            <w:tcBorders>
              <w:top w:val="nil"/>
              <w:left w:val="nil"/>
              <w:bottom w:val="single" w:sz="4" w:space="0" w:color="auto"/>
              <w:right w:val="single" w:sz="4" w:space="0" w:color="auto"/>
            </w:tcBorders>
            <w:shd w:val="clear" w:color="auto" w:fill="auto"/>
            <w:noWrap/>
            <w:vAlign w:val="center"/>
            <w:hideMark/>
          </w:tcPr>
          <w:p w14:paraId="381EDF5E" w14:textId="77777777" w:rsidR="00017CC7" w:rsidRPr="00375341" w:rsidRDefault="00017CC7" w:rsidP="00017CC7">
            <w:pPr>
              <w:pStyle w:val="Bezriadkovania"/>
            </w:pPr>
            <w:r w:rsidRPr="00375341">
              <w:t>S_80</w:t>
            </w:r>
          </w:p>
        </w:tc>
        <w:tc>
          <w:tcPr>
            <w:tcW w:w="1998" w:type="dxa"/>
            <w:tcBorders>
              <w:top w:val="nil"/>
              <w:left w:val="nil"/>
              <w:bottom w:val="single" w:sz="4" w:space="0" w:color="auto"/>
              <w:right w:val="single" w:sz="8" w:space="0" w:color="auto"/>
            </w:tcBorders>
            <w:shd w:val="clear" w:color="auto" w:fill="auto"/>
            <w:noWrap/>
            <w:vAlign w:val="center"/>
            <w:hideMark/>
          </w:tcPr>
          <w:p w14:paraId="136BDD30" w14:textId="77777777" w:rsidR="00017CC7" w:rsidRPr="00375341" w:rsidRDefault="00017CC7" w:rsidP="00017CC7">
            <w:pPr>
              <w:pStyle w:val="Bezriadkovania"/>
            </w:pPr>
            <w:r w:rsidRPr="00375341">
              <w:t>S_25</w:t>
            </w:r>
          </w:p>
        </w:tc>
        <w:tc>
          <w:tcPr>
            <w:tcW w:w="1997" w:type="dxa"/>
            <w:tcBorders>
              <w:top w:val="nil"/>
              <w:left w:val="nil"/>
              <w:bottom w:val="single" w:sz="4" w:space="0" w:color="auto"/>
              <w:right w:val="single" w:sz="8" w:space="0" w:color="auto"/>
            </w:tcBorders>
            <w:vAlign w:val="center"/>
          </w:tcPr>
          <w:p w14:paraId="2C114238" w14:textId="77777777" w:rsidR="00017CC7" w:rsidRPr="00375341" w:rsidRDefault="00017CC7" w:rsidP="00017CC7">
            <w:pPr>
              <w:pStyle w:val="Bezriadkovania"/>
            </w:pPr>
            <w:r w:rsidRPr="00375341">
              <w:t>MaZ_21</w:t>
            </w:r>
          </w:p>
        </w:tc>
        <w:tc>
          <w:tcPr>
            <w:tcW w:w="1998" w:type="dxa"/>
            <w:tcBorders>
              <w:top w:val="nil"/>
              <w:left w:val="nil"/>
              <w:bottom w:val="single" w:sz="4" w:space="0" w:color="auto"/>
              <w:right w:val="single" w:sz="8" w:space="0" w:color="auto"/>
            </w:tcBorders>
            <w:vAlign w:val="center"/>
          </w:tcPr>
          <w:p w14:paraId="2D2638A2" w14:textId="77777777" w:rsidR="00017CC7" w:rsidRPr="00375341" w:rsidRDefault="00017CC7" w:rsidP="00017CC7">
            <w:pPr>
              <w:pStyle w:val="Bezriadkovania"/>
            </w:pPr>
            <w:r w:rsidRPr="00375341">
              <w:t>S_116</w:t>
            </w:r>
          </w:p>
        </w:tc>
        <w:tc>
          <w:tcPr>
            <w:tcW w:w="1998" w:type="dxa"/>
            <w:tcBorders>
              <w:top w:val="nil"/>
              <w:left w:val="nil"/>
              <w:bottom w:val="single" w:sz="4" w:space="0" w:color="auto"/>
              <w:right w:val="single" w:sz="8" w:space="0" w:color="auto"/>
            </w:tcBorders>
            <w:vAlign w:val="center"/>
          </w:tcPr>
          <w:p w14:paraId="2E5773F9" w14:textId="77777777" w:rsidR="00017CC7" w:rsidRPr="00375341" w:rsidRDefault="00017CC7" w:rsidP="00017CC7">
            <w:pPr>
              <w:pStyle w:val="Bezriadkovania"/>
            </w:pPr>
            <w:r w:rsidRPr="00375341">
              <w:t>S_061</w:t>
            </w:r>
          </w:p>
        </w:tc>
        <w:tc>
          <w:tcPr>
            <w:tcW w:w="1998" w:type="dxa"/>
            <w:tcBorders>
              <w:top w:val="nil"/>
              <w:left w:val="nil"/>
              <w:bottom w:val="single" w:sz="4" w:space="0" w:color="auto"/>
              <w:right w:val="single" w:sz="8" w:space="0" w:color="auto"/>
            </w:tcBorders>
            <w:vAlign w:val="center"/>
          </w:tcPr>
          <w:p w14:paraId="6C08D81E" w14:textId="77777777" w:rsidR="00017CC7" w:rsidRPr="00375341" w:rsidRDefault="00017CC7" w:rsidP="00017CC7">
            <w:pPr>
              <w:pStyle w:val="Bezriadkovania"/>
            </w:pPr>
            <w:r w:rsidRPr="00375341">
              <w:t>MaZ_17</w:t>
            </w:r>
          </w:p>
        </w:tc>
        <w:tc>
          <w:tcPr>
            <w:tcW w:w="1998" w:type="dxa"/>
            <w:tcBorders>
              <w:top w:val="nil"/>
              <w:left w:val="nil"/>
              <w:bottom w:val="single" w:sz="4" w:space="0" w:color="auto"/>
              <w:right w:val="single" w:sz="8" w:space="0" w:color="auto"/>
            </w:tcBorders>
            <w:vAlign w:val="center"/>
          </w:tcPr>
          <w:p w14:paraId="57A89659" w14:textId="37884DA8" w:rsidR="00017CC7" w:rsidRPr="00375341" w:rsidRDefault="00017CC7" w:rsidP="00017CC7">
            <w:pPr>
              <w:pStyle w:val="Bezriadkovania"/>
            </w:pPr>
            <w:r w:rsidRPr="000D1551">
              <w:rPr>
                <w:rFonts w:cstheme="minorHAnsi"/>
              </w:rPr>
              <w:t>T1a_St2_R1 + T1a_St2_R2 + T1a_St2_R3 + T1a_St2_R4 - T1a_St2_R5</w:t>
            </w:r>
          </w:p>
        </w:tc>
      </w:tr>
      <w:tr w:rsidR="00017CC7" w:rsidRPr="00375341" w14:paraId="06AE00A3" w14:textId="799CCA7E" w:rsidTr="00017CC7">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0A482270" w14:textId="77777777" w:rsidR="00017CC7" w:rsidRPr="00375341" w:rsidRDefault="00017CC7" w:rsidP="00017CC7">
            <w:pPr>
              <w:pStyle w:val="Bezriadkovania"/>
            </w:pPr>
            <w:r w:rsidRPr="00375341">
              <w:t>Emisné ážio</w:t>
            </w:r>
          </w:p>
        </w:tc>
        <w:tc>
          <w:tcPr>
            <w:tcW w:w="1998" w:type="dxa"/>
            <w:tcBorders>
              <w:top w:val="nil"/>
              <w:left w:val="nil"/>
              <w:bottom w:val="single" w:sz="4" w:space="0" w:color="auto"/>
              <w:right w:val="single" w:sz="4" w:space="0" w:color="auto"/>
            </w:tcBorders>
            <w:shd w:val="clear" w:color="auto" w:fill="auto"/>
            <w:noWrap/>
            <w:vAlign w:val="center"/>
          </w:tcPr>
          <w:p w14:paraId="0C5DCDB3" w14:textId="77777777" w:rsidR="00017CC7" w:rsidRPr="00375341" w:rsidRDefault="00017CC7" w:rsidP="00017CC7">
            <w:pPr>
              <w:pStyle w:val="Bezriadkovania"/>
            </w:pPr>
            <w:r w:rsidRPr="00375341">
              <w:t>S_85</w:t>
            </w:r>
          </w:p>
        </w:tc>
        <w:tc>
          <w:tcPr>
            <w:tcW w:w="1998" w:type="dxa"/>
            <w:tcBorders>
              <w:top w:val="nil"/>
              <w:left w:val="nil"/>
              <w:bottom w:val="single" w:sz="4" w:space="0" w:color="auto"/>
              <w:right w:val="single" w:sz="8" w:space="0" w:color="auto"/>
            </w:tcBorders>
            <w:shd w:val="clear" w:color="auto" w:fill="auto"/>
            <w:noWrap/>
            <w:vAlign w:val="center"/>
          </w:tcPr>
          <w:p w14:paraId="05A9098C" w14:textId="77777777" w:rsidR="00017CC7" w:rsidRPr="00375341" w:rsidRDefault="00017CC7" w:rsidP="00017CC7">
            <w:pPr>
              <w:pStyle w:val="Bezriadkovania"/>
            </w:pPr>
            <w:r w:rsidRPr="00375341">
              <w:t>doplňujúci údaj</w:t>
            </w:r>
          </w:p>
        </w:tc>
        <w:tc>
          <w:tcPr>
            <w:tcW w:w="1997" w:type="dxa"/>
            <w:tcBorders>
              <w:top w:val="nil"/>
              <w:left w:val="nil"/>
              <w:bottom w:val="single" w:sz="4" w:space="0" w:color="auto"/>
              <w:right w:val="single" w:sz="8" w:space="0" w:color="auto"/>
            </w:tcBorders>
            <w:vAlign w:val="center"/>
          </w:tcPr>
          <w:p w14:paraId="40DFF835" w14:textId="77777777" w:rsidR="00017CC7" w:rsidRPr="00375341" w:rsidRDefault="00017CC7" w:rsidP="00017CC7">
            <w:pPr>
              <w:pStyle w:val="Bezriadkovania"/>
            </w:pPr>
            <w:r w:rsidRPr="00375341">
              <w:t>----------</w:t>
            </w:r>
          </w:p>
        </w:tc>
        <w:tc>
          <w:tcPr>
            <w:tcW w:w="1998" w:type="dxa"/>
            <w:tcBorders>
              <w:top w:val="nil"/>
              <w:left w:val="nil"/>
              <w:bottom w:val="single" w:sz="4" w:space="0" w:color="auto"/>
              <w:right w:val="single" w:sz="8" w:space="0" w:color="auto"/>
            </w:tcBorders>
            <w:vAlign w:val="center"/>
          </w:tcPr>
          <w:p w14:paraId="6B41D381" w14:textId="77777777" w:rsidR="00017CC7" w:rsidRPr="00375341" w:rsidRDefault="00017CC7" w:rsidP="00017CC7">
            <w:pPr>
              <w:pStyle w:val="Bezriadkovania"/>
            </w:pPr>
            <w:r w:rsidRPr="00375341">
              <w:t>----------</w:t>
            </w:r>
          </w:p>
        </w:tc>
        <w:tc>
          <w:tcPr>
            <w:tcW w:w="1998" w:type="dxa"/>
            <w:tcBorders>
              <w:top w:val="nil"/>
              <w:left w:val="nil"/>
              <w:bottom w:val="single" w:sz="4" w:space="0" w:color="auto"/>
              <w:right w:val="single" w:sz="8" w:space="0" w:color="auto"/>
            </w:tcBorders>
          </w:tcPr>
          <w:p w14:paraId="575BFC4A" w14:textId="77777777" w:rsidR="00017CC7" w:rsidRPr="00375341" w:rsidRDefault="00017CC7" w:rsidP="00017CC7">
            <w:pPr>
              <w:pStyle w:val="Bezriadkovania"/>
            </w:pPr>
            <w:r w:rsidRPr="00375341">
              <w:t>----------</w:t>
            </w:r>
          </w:p>
        </w:tc>
        <w:tc>
          <w:tcPr>
            <w:tcW w:w="1998" w:type="dxa"/>
            <w:tcBorders>
              <w:top w:val="nil"/>
              <w:left w:val="nil"/>
              <w:bottom w:val="single" w:sz="4" w:space="0" w:color="auto"/>
              <w:right w:val="single" w:sz="8" w:space="0" w:color="auto"/>
            </w:tcBorders>
          </w:tcPr>
          <w:p w14:paraId="7EEA899B" w14:textId="77777777" w:rsidR="00017CC7" w:rsidRPr="00375341" w:rsidRDefault="00017CC7" w:rsidP="00017CC7">
            <w:pPr>
              <w:pStyle w:val="Bezriadkovania"/>
            </w:pPr>
            <w:r w:rsidRPr="00375341">
              <w:t>----------</w:t>
            </w:r>
          </w:p>
        </w:tc>
        <w:tc>
          <w:tcPr>
            <w:tcW w:w="1998" w:type="dxa"/>
            <w:tcBorders>
              <w:top w:val="nil"/>
              <w:left w:val="nil"/>
              <w:bottom w:val="single" w:sz="4" w:space="0" w:color="auto"/>
              <w:right w:val="single" w:sz="8" w:space="0" w:color="auto"/>
            </w:tcBorders>
          </w:tcPr>
          <w:p w14:paraId="0F112EC6" w14:textId="0317E8F2" w:rsidR="00017CC7" w:rsidRPr="00375341" w:rsidRDefault="00017CC7" w:rsidP="00017CC7">
            <w:pPr>
              <w:pStyle w:val="Bezriadkovania"/>
            </w:pPr>
            <w:r w:rsidRPr="000D1551">
              <w:rPr>
                <w:rFonts w:cstheme="minorHAnsi"/>
              </w:rPr>
              <w:t>----------</w:t>
            </w:r>
          </w:p>
        </w:tc>
      </w:tr>
      <w:tr w:rsidR="00017CC7" w:rsidRPr="00375341" w14:paraId="14713885" w14:textId="213C2418" w:rsidTr="009E0C4D">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5C5B3478" w14:textId="77777777" w:rsidR="00017CC7" w:rsidRPr="00375341" w:rsidRDefault="00017CC7" w:rsidP="00017CC7">
            <w:pPr>
              <w:pStyle w:val="Bezriadkovania"/>
            </w:pPr>
            <w:r w:rsidRPr="00375341">
              <w:t>Základné imanie</w:t>
            </w:r>
          </w:p>
        </w:tc>
        <w:tc>
          <w:tcPr>
            <w:tcW w:w="1998" w:type="dxa"/>
            <w:tcBorders>
              <w:top w:val="nil"/>
              <w:left w:val="nil"/>
              <w:bottom w:val="single" w:sz="4" w:space="0" w:color="auto"/>
              <w:right w:val="single" w:sz="4" w:space="0" w:color="auto"/>
            </w:tcBorders>
            <w:shd w:val="clear" w:color="auto" w:fill="auto"/>
            <w:noWrap/>
            <w:vAlign w:val="center"/>
          </w:tcPr>
          <w:p w14:paraId="31F8D5D5" w14:textId="77777777" w:rsidR="00017CC7" w:rsidRPr="00375341" w:rsidRDefault="00017CC7" w:rsidP="00017CC7">
            <w:pPr>
              <w:pStyle w:val="Bezriadkovania"/>
            </w:pPr>
            <w:r w:rsidRPr="00375341">
              <w:t>S_81</w:t>
            </w:r>
          </w:p>
        </w:tc>
        <w:tc>
          <w:tcPr>
            <w:tcW w:w="1998" w:type="dxa"/>
            <w:tcBorders>
              <w:top w:val="nil"/>
              <w:left w:val="nil"/>
              <w:bottom w:val="single" w:sz="4" w:space="0" w:color="auto"/>
              <w:right w:val="single" w:sz="8" w:space="0" w:color="auto"/>
            </w:tcBorders>
            <w:shd w:val="clear" w:color="auto" w:fill="auto"/>
            <w:noWrap/>
            <w:vAlign w:val="center"/>
          </w:tcPr>
          <w:p w14:paraId="323017FC" w14:textId="77777777" w:rsidR="00017CC7" w:rsidRPr="00375341" w:rsidRDefault="00017CC7" w:rsidP="00017CC7">
            <w:pPr>
              <w:pStyle w:val="Bezriadkovania"/>
            </w:pPr>
            <w:r w:rsidRPr="00375341">
              <w:t>S_26</w:t>
            </w:r>
          </w:p>
        </w:tc>
        <w:tc>
          <w:tcPr>
            <w:tcW w:w="1997" w:type="dxa"/>
            <w:tcBorders>
              <w:top w:val="nil"/>
              <w:left w:val="nil"/>
              <w:bottom w:val="single" w:sz="4" w:space="0" w:color="auto"/>
              <w:right w:val="single" w:sz="8" w:space="0" w:color="auto"/>
            </w:tcBorders>
            <w:vAlign w:val="center"/>
          </w:tcPr>
          <w:p w14:paraId="7A14DC96" w14:textId="77777777" w:rsidR="00017CC7" w:rsidRPr="00375341" w:rsidRDefault="00017CC7" w:rsidP="00017CC7">
            <w:pPr>
              <w:pStyle w:val="Bezriadkovania"/>
            </w:pPr>
            <w:r w:rsidRPr="00375341">
              <w:t>----------</w:t>
            </w:r>
          </w:p>
        </w:tc>
        <w:tc>
          <w:tcPr>
            <w:tcW w:w="1998" w:type="dxa"/>
            <w:tcBorders>
              <w:top w:val="nil"/>
              <w:left w:val="nil"/>
              <w:bottom w:val="single" w:sz="4" w:space="0" w:color="auto"/>
              <w:right w:val="single" w:sz="8" w:space="0" w:color="auto"/>
            </w:tcBorders>
            <w:vAlign w:val="center"/>
          </w:tcPr>
          <w:p w14:paraId="0D5F4F9F" w14:textId="77777777" w:rsidR="00017CC7" w:rsidRPr="00375341" w:rsidRDefault="00017CC7" w:rsidP="00017CC7">
            <w:pPr>
              <w:pStyle w:val="Bezriadkovania"/>
            </w:pPr>
            <w:r w:rsidRPr="00375341">
              <w:t>----------</w:t>
            </w:r>
          </w:p>
        </w:tc>
        <w:tc>
          <w:tcPr>
            <w:tcW w:w="1998" w:type="dxa"/>
            <w:tcBorders>
              <w:top w:val="nil"/>
              <w:left w:val="nil"/>
              <w:bottom w:val="single" w:sz="4" w:space="0" w:color="auto"/>
              <w:right w:val="single" w:sz="8" w:space="0" w:color="auto"/>
            </w:tcBorders>
          </w:tcPr>
          <w:p w14:paraId="1C7E343F" w14:textId="6BCC60E2" w:rsidR="00017CC7" w:rsidRPr="00375341" w:rsidRDefault="00017CC7" w:rsidP="00017CC7">
            <w:pPr>
              <w:pStyle w:val="Bezriadkovania"/>
            </w:pPr>
            <w:r w:rsidRPr="00375341">
              <w:t>----------</w:t>
            </w:r>
          </w:p>
        </w:tc>
        <w:tc>
          <w:tcPr>
            <w:tcW w:w="1998" w:type="dxa"/>
            <w:tcBorders>
              <w:top w:val="nil"/>
              <w:left w:val="nil"/>
              <w:bottom w:val="single" w:sz="4" w:space="0" w:color="auto"/>
              <w:right w:val="single" w:sz="8" w:space="0" w:color="auto"/>
            </w:tcBorders>
          </w:tcPr>
          <w:p w14:paraId="30A7122E" w14:textId="77777777" w:rsidR="00017CC7" w:rsidRPr="00375341" w:rsidRDefault="00017CC7" w:rsidP="00017CC7">
            <w:pPr>
              <w:pStyle w:val="Bezriadkovania"/>
            </w:pPr>
            <w:r w:rsidRPr="00375341">
              <w:t>----------</w:t>
            </w:r>
          </w:p>
        </w:tc>
        <w:tc>
          <w:tcPr>
            <w:tcW w:w="1998" w:type="dxa"/>
            <w:tcBorders>
              <w:top w:val="nil"/>
              <w:left w:val="nil"/>
              <w:bottom w:val="single" w:sz="4" w:space="0" w:color="auto"/>
              <w:right w:val="single" w:sz="8" w:space="0" w:color="auto"/>
            </w:tcBorders>
          </w:tcPr>
          <w:p w14:paraId="1B416F1C" w14:textId="47504742" w:rsidR="00017CC7" w:rsidRPr="00375341" w:rsidRDefault="00017CC7" w:rsidP="00017CC7">
            <w:pPr>
              <w:pStyle w:val="Bezriadkovania"/>
            </w:pPr>
            <w:r w:rsidRPr="000D1551">
              <w:rPr>
                <w:rFonts w:cstheme="minorHAnsi"/>
              </w:rPr>
              <w:t>----------</w:t>
            </w:r>
          </w:p>
        </w:tc>
      </w:tr>
      <w:tr w:rsidR="00017CC7" w:rsidRPr="00375341" w14:paraId="4CDD445D" w14:textId="3850361A" w:rsidTr="009E0C4D">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5691F692" w14:textId="77777777" w:rsidR="00017CC7" w:rsidRPr="00375341" w:rsidRDefault="00017CC7" w:rsidP="00017CC7">
            <w:pPr>
              <w:pStyle w:val="Bezriadkovania"/>
            </w:pPr>
            <w:r w:rsidRPr="00375341">
              <w:t>Výsledok hospodárenia za účtovné obdobie</w:t>
            </w:r>
          </w:p>
        </w:tc>
        <w:tc>
          <w:tcPr>
            <w:tcW w:w="1998" w:type="dxa"/>
            <w:tcBorders>
              <w:top w:val="nil"/>
              <w:left w:val="nil"/>
              <w:bottom w:val="single" w:sz="4" w:space="0" w:color="auto"/>
              <w:right w:val="single" w:sz="4" w:space="0" w:color="auto"/>
            </w:tcBorders>
            <w:shd w:val="clear" w:color="auto" w:fill="auto"/>
            <w:noWrap/>
            <w:vAlign w:val="center"/>
          </w:tcPr>
          <w:p w14:paraId="38AD17FB" w14:textId="77777777" w:rsidR="00017CC7" w:rsidRPr="00375341" w:rsidRDefault="00017CC7" w:rsidP="00017CC7">
            <w:pPr>
              <w:pStyle w:val="Bezriadkovania"/>
            </w:pPr>
            <w:r w:rsidRPr="00375341">
              <w:t>S_100</w:t>
            </w:r>
          </w:p>
        </w:tc>
        <w:tc>
          <w:tcPr>
            <w:tcW w:w="1998" w:type="dxa"/>
            <w:tcBorders>
              <w:top w:val="nil"/>
              <w:left w:val="nil"/>
              <w:bottom w:val="single" w:sz="4" w:space="0" w:color="auto"/>
              <w:right w:val="single" w:sz="8" w:space="0" w:color="auto"/>
            </w:tcBorders>
            <w:shd w:val="clear" w:color="auto" w:fill="auto"/>
            <w:noWrap/>
            <w:vAlign w:val="center"/>
          </w:tcPr>
          <w:p w14:paraId="637DC2F6" w14:textId="77777777" w:rsidR="00017CC7" w:rsidRPr="00375341" w:rsidRDefault="00017CC7" w:rsidP="00017CC7">
            <w:pPr>
              <w:pStyle w:val="Bezriadkovania"/>
            </w:pPr>
            <w:r w:rsidRPr="00375341">
              <w:t>S_33</w:t>
            </w:r>
          </w:p>
        </w:tc>
        <w:tc>
          <w:tcPr>
            <w:tcW w:w="1997" w:type="dxa"/>
            <w:tcBorders>
              <w:top w:val="nil"/>
              <w:left w:val="nil"/>
              <w:bottom w:val="single" w:sz="4" w:space="0" w:color="auto"/>
              <w:right w:val="single" w:sz="8" w:space="0" w:color="auto"/>
            </w:tcBorders>
            <w:vAlign w:val="center"/>
          </w:tcPr>
          <w:p w14:paraId="6AAD3BD8" w14:textId="77777777" w:rsidR="00017CC7" w:rsidRPr="00375341" w:rsidRDefault="00017CC7" w:rsidP="00017CC7">
            <w:pPr>
              <w:pStyle w:val="Bezriadkovania"/>
            </w:pPr>
            <w:r w:rsidRPr="00375341">
              <w:t>PaV_12</w:t>
            </w:r>
          </w:p>
        </w:tc>
        <w:tc>
          <w:tcPr>
            <w:tcW w:w="1998" w:type="dxa"/>
            <w:tcBorders>
              <w:top w:val="single" w:sz="4" w:space="0" w:color="auto"/>
              <w:left w:val="nil"/>
              <w:bottom w:val="single" w:sz="4" w:space="0" w:color="auto"/>
              <w:right w:val="single" w:sz="8" w:space="0" w:color="auto"/>
              <w:tr2bl w:val="single" w:sz="4" w:space="0" w:color="auto"/>
            </w:tcBorders>
            <w:vAlign w:val="center"/>
          </w:tcPr>
          <w:p w14:paraId="12DDBD91" w14:textId="1AADB6F7" w:rsidR="00017CC7" w:rsidRPr="00375341" w:rsidRDefault="00017CC7" w:rsidP="00017CC7">
            <w:pPr>
              <w:pStyle w:val="Bezriadkovania"/>
            </w:pPr>
          </w:p>
        </w:tc>
        <w:tc>
          <w:tcPr>
            <w:tcW w:w="1998" w:type="dxa"/>
            <w:tcBorders>
              <w:top w:val="single" w:sz="4" w:space="0" w:color="auto"/>
              <w:left w:val="nil"/>
              <w:bottom w:val="single" w:sz="4" w:space="0" w:color="auto"/>
              <w:right w:val="single" w:sz="8" w:space="0" w:color="auto"/>
              <w:tr2bl w:val="single" w:sz="4" w:space="0" w:color="auto"/>
            </w:tcBorders>
            <w:vAlign w:val="center"/>
          </w:tcPr>
          <w:p w14:paraId="5FBE0CF6" w14:textId="1550D4C2" w:rsidR="00017CC7" w:rsidRPr="00375341" w:rsidRDefault="00017CC7" w:rsidP="00017CC7">
            <w:pPr>
              <w:pStyle w:val="Bezriadkovania"/>
            </w:pPr>
          </w:p>
        </w:tc>
        <w:tc>
          <w:tcPr>
            <w:tcW w:w="1998" w:type="dxa"/>
            <w:tcBorders>
              <w:top w:val="single" w:sz="4" w:space="0" w:color="auto"/>
              <w:left w:val="nil"/>
              <w:bottom w:val="single" w:sz="4" w:space="0" w:color="auto"/>
              <w:right w:val="single" w:sz="8" w:space="0" w:color="auto"/>
              <w:tr2bl w:val="single" w:sz="4" w:space="0" w:color="auto"/>
            </w:tcBorders>
            <w:vAlign w:val="center"/>
          </w:tcPr>
          <w:p w14:paraId="1904166E" w14:textId="58FEE4B3" w:rsidR="00017CC7" w:rsidRPr="00375341" w:rsidRDefault="00017CC7" w:rsidP="00017CC7">
            <w:pPr>
              <w:pStyle w:val="Bezriadkovania"/>
            </w:pPr>
          </w:p>
        </w:tc>
        <w:tc>
          <w:tcPr>
            <w:tcW w:w="1998" w:type="dxa"/>
            <w:tcBorders>
              <w:top w:val="single" w:sz="4" w:space="0" w:color="auto"/>
              <w:left w:val="nil"/>
              <w:bottom w:val="single" w:sz="4" w:space="0" w:color="auto"/>
              <w:right w:val="single" w:sz="8" w:space="0" w:color="auto"/>
            </w:tcBorders>
            <w:vAlign w:val="center"/>
          </w:tcPr>
          <w:p w14:paraId="78384E5F" w14:textId="6DCA836C" w:rsidR="00017CC7" w:rsidRPr="00375341" w:rsidDel="00017CC7" w:rsidRDefault="00017CC7" w:rsidP="00017CC7">
            <w:pPr>
              <w:pStyle w:val="Bezriadkovania"/>
            </w:pPr>
            <w:r w:rsidRPr="000D1551">
              <w:rPr>
                <w:rFonts w:cstheme="minorHAnsi"/>
              </w:rPr>
              <w:t>T1_St1_R10 + T1_St1_R13 - T1_St2_R10 - T1_St2_R13</w:t>
            </w:r>
          </w:p>
        </w:tc>
      </w:tr>
      <w:tr w:rsidR="00017CC7" w:rsidRPr="00375341" w14:paraId="5E7585FF" w14:textId="232384EE" w:rsidTr="009E0C4D">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5F948BC9" w14:textId="77777777" w:rsidR="00017CC7" w:rsidRPr="00375341" w:rsidRDefault="00017CC7" w:rsidP="00017CC7">
            <w:pPr>
              <w:pStyle w:val="Bezriadkovania"/>
            </w:pPr>
            <w:r w:rsidRPr="00375341">
              <w:t>Výsledok hospodárenia minulých rokov</w:t>
            </w:r>
          </w:p>
        </w:tc>
        <w:tc>
          <w:tcPr>
            <w:tcW w:w="1998" w:type="dxa"/>
            <w:tcBorders>
              <w:top w:val="nil"/>
              <w:left w:val="nil"/>
              <w:bottom w:val="single" w:sz="4" w:space="0" w:color="auto"/>
              <w:right w:val="single" w:sz="4" w:space="0" w:color="auto"/>
            </w:tcBorders>
            <w:shd w:val="clear" w:color="auto" w:fill="auto"/>
            <w:noWrap/>
            <w:vAlign w:val="center"/>
          </w:tcPr>
          <w:p w14:paraId="60C37C5A" w14:textId="77777777" w:rsidR="00017CC7" w:rsidRPr="00375341" w:rsidRDefault="00017CC7" w:rsidP="00017CC7">
            <w:pPr>
              <w:pStyle w:val="Bezriadkovania"/>
            </w:pPr>
            <w:r w:rsidRPr="00375341">
              <w:t>S_97</w:t>
            </w:r>
          </w:p>
        </w:tc>
        <w:tc>
          <w:tcPr>
            <w:tcW w:w="1998" w:type="dxa"/>
            <w:tcBorders>
              <w:top w:val="nil"/>
              <w:left w:val="nil"/>
              <w:bottom w:val="single" w:sz="4" w:space="0" w:color="auto"/>
              <w:right w:val="single" w:sz="8" w:space="0" w:color="auto"/>
            </w:tcBorders>
            <w:shd w:val="clear" w:color="auto" w:fill="auto"/>
            <w:noWrap/>
            <w:vAlign w:val="center"/>
          </w:tcPr>
          <w:p w14:paraId="46867CD6" w14:textId="77777777" w:rsidR="00017CC7" w:rsidRPr="00375341" w:rsidRDefault="00017CC7" w:rsidP="00017CC7">
            <w:pPr>
              <w:pStyle w:val="Bezriadkovania"/>
            </w:pPr>
            <w:r w:rsidRPr="00375341">
              <w:t>S_32</w:t>
            </w:r>
          </w:p>
        </w:tc>
        <w:tc>
          <w:tcPr>
            <w:tcW w:w="1997" w:type="dxa"/>
            <w:tcBorders>
              <w:top w:val="nil"/>
              <w:left w:val="nil"/>
              <w:bottom w:val="single" w:sz="4" w:space="0" w:color="auto"/>
              <w:right w:val="single" w:sz="8" w:space="0" w:color="auto"/>
            </w:tcBorders>
            <w:vAlign w:val="center"/>
          </w:tcPr>
          <w:p w14:paraId="306FE60D" w14:textId="77777777" w:rsidR="00017CC7" w:rsidRPr="00375341" w:rsidRDefault="00017CC7" w:rsidP="00017CC7">
            <w:pPr>
              <w:pStyle w:val="Bezriadkovania"/>
            </w:pPr>
            <w:r w:rsidRPr="00375341">
              <w:t>----------</w:t>
            </w:r>
          </w:p>
        </w:tc>
        <w:tc>
          <w:tcPr>
            <w:tcW w:w="1998" w:type="dxa"/>
            <w:tcBorders>
              <w:top w:val="single" w:sz="4" w:space="0" w:color="auto"/>
              <w:left w:val="nil"/>
              <w:bottom w:val="single" w:sz="4" w:space="0" w:color="auto"/>
              <w:right w:val="single" w:sz="8" w:space="0" w:color="auto"/>
              <w:tr2bl w:val="single" w:sz="4" w:space="0" w:color="auto"/>
            </w:tcBorders>
            <w:vAlign w:val="center"/>
          </w:tcPr>
          <w:p w14:paraId="4FD93F10" w14:textId="45989925" w:rsidR="00017CC7" w:rsidRPr="00375341" w:rsidRDefault="00017CC7" w:rsidP="00017CC7">
            <w:pPr>
              <w:pStyle w:val="Bezriadkovania"/>
            </w:pPr>
          </w:p>
        </w:tc>
        <w:tc>
          <w:tcPr>
            <w:tcW w:w="1998" w:type="dxa"/>
            <w:tcBorders>
              <w:top w:val="single" w:sz="4" w:space="0" w:color="auto"/>
              <w:left w:val="nil"/>
              <w:bottom w:val="single" w:sz="4" w:space="0" w:color="auto"/>
              <w:right w:val="single" w:sz="8" w:space="0" w:color="auto"/>
              <w:tr2bl w:val="single" w:sz="4" w:space="0" w:color="auto"/>
            </w:tcBorders>
            <w:vAlign w:val="center"/>
          </w:tcPr>
          <w:p w14:paraId="5C552772" w14:textId="0A37EC6C" w:rsidR="00017CC7" w:rsidRPr="00375341" w:rsidRDefault="00017CC7" w:rsidP="00017CC7">
            <w:pPr>
              <w:pStyle w:val="Bezriadkovania"/>
            </w:pPr>
          </w:p>
        </w:tc>
        <w:tc>
          <w:tcPr>
            <w:tcW w:w="1998" w:type="dxa"/>
            <w:tcBorders>
              <w:top w:val="single" w:sz="4" w:space="0" w:color="auto"/>
              <w:left w:val="nil"/>
              <w:bottom w:val="single" w:sz="4" w:space="0" w:color="auto"/>
              <w:right w:val="single" w:sz="8" w:space="0" w:color="auto"/>
              <w:tr2bl w:val="single" w:sz="4" w:space="0" w:color="auto"/>
            </w:tcBorders>
            <w:vAlign w:val="center"/>
          </w:tcPr>
          <w:p w14:paraId="49D72A10" w14:textId="1E75A5C1" w:rsidR="00017CC7" w:rsidRPr="00375341" w:rsidRDefault="00017CC7" w:rsidP="00017CC7">
            <w:pPr>
              <w:pStyle w:val="Bezriadkovania"/>
            </w:pPr>
          </w:p>
        </w:tc>
        <w:tc>
          <w:tcPr>
            <w:tcW w:w="1998" w:type="dxa"/>
            <w:tcBorders>
              <w:top w:val="single" w:sz="4" w:space="0" w:color="auto"/>
              <w:left w:val="nil"/>
              <w:bottom w:val="single" w:sz="4" w:space="0" w:color="auto"/>
              <w:right w:val="single" w:sz="8" w:space="0" w:color="auto"/>
              <w:tr2bl w:val="single" w:sz="4" w:space="0" w:color="auto"/>
            </w:tcBorders>
            <w:vAlign w:val="center"/>
          </w:tcPr>
          <w:p w14:paraId="24AF6006" w14:textId="77777777" w:rsidR="00017CC7" w:rsidRPr="00375341" w:rsidDel="00017CC7" w:rsidRDefault="00017CC7" w:rsidP="00017CC7">
            <w:pPr>
              <w:pStyle w:val="Bezriadkovania"/>
            </w:pPr>
          </w:p>
        </w:tc>
      </w:tr>
      <w:tr w:rsidR="00017CC7" w:rsidRPr="00375341" w14:paraId="4FBD96EE" w14:textId="77039D8B" w:rsidTr="009E0C4D">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5DA26DD6" w14:textId="77777777" w:rsidR="00017CC7" w:rsidRPr="00375341" w:rsidRDefault="00017CC7" w:rsidP="00017CC7">
            <w:pPr>
              <w:pStyle w:val="Bezriadkovania"/>
            </w:pPr>
            <w:r w:rsidRPr="00375341">
              <w:t>Akumulovaná strata</w:t>
            </w:r>
          </w:p>
        </w:tc>
        <w:tc>
          <w:tcPr>
            <w:tcW w:w="1998" w:type="dxa"/>
            <w:tcBorders>
              <w:top w:val="nil"/>
              <w:left w:val="nil"/>
              <w:bottom w:val="single" w:sz="4" w:space="0" w:color="auto"/>
              <w:right w:val="single" w:sz="4" w:space="0" w:color="auto"/>
            </w:tcBorders>
            <w:shd w:val="clear" w:color="auto" w:fill="auto"/>
            <w:noWrap/>
            <w:vAlign w:val="center"/>
          </w:tcPr>
          <w:p w14:paraId="3B5CA1A7" w14:textId="77777777" w:rsidR="00017CC7" w:rsidRPr="00375341" w:rsidRDefault="00017CC7" w:rsidP="00017CC7">
            <w:pPr>
              <w:pStyle w:val="Bezriadkovania"/>
            </w:pPr>
            <w:r w:rsidRPr="00375341">
              <w:t>|S_100 + S_97|</w:t>
            </w:r>
          </w:p>
        </w:tc>
        <w:tc>
          <w:tcPr>
            <w:tcW w:w="1998" w:type="dxa"/>
            <w:tcBorders>
              <w:top w:val="nil"/>
              <w:left w:val="nil"/>
              <w:bottom w:val="single" w:sz="4" w:space="0" w:color="auto"/>
              <w:right w:val="single" w:sz="8" w:space="0" w:color="auto"/>
            </w:tcBorders>
            <w:shd w:val="clear" w:color="auto" w:fill="auto"/>
            <w:noWrap/>
            <w:vAlign w:val="center"/>
          </w:tcPr>
          <w:p w14:paraId="6BB2679F" w14:textId="77777777" w:rsidR="00017CC7" w:rsidRPr="00375341" w:rsidRDefault="00017CC7" w:rsidP="00017CC7">
            <w:pPr>
              <w:pStyle w:val="Bezriadkovania"/>
            </w:pPr>
            <w:r w:rsidRPr="00375341">
              <w:t>|S_33 + S_32|</w:t>
            </w:r>
          </w:p>
        </w:tc>
        <w:tc>
          <w:tcPr>
            <w:tcW w:w="1997" w:type="dxa"/>
            <w:tcBorders>
              <w:top w:val="nil"/>
              <w:left w:val="nil"/>
              <w:bottom w:val="single" w:sz="4" w:space="0" w:color="auto"/>
              <w:right w:val="single" w:sz="8" w:space="0" w:color="auto"/>
            </w:tcBorders>
            <w:vAlign w:val="center"/>
          </w:tcPr>
          <w:p w14:paraId="363E2471" w14:textId="77777777" w:rsidR="00017CC7" w:rsidRPr="00375341" w:rsidRDefault="00017CC7" w:rsidP="00017CC7">
            <w:pPr>
              <w:pStyle w:val="Bezriadkovania"/>
            </w:pPr>
            <w:r w:rsidRPr="00375341">
              <w:t>|PaV_12|</w:t>
            </w:r>
          </w:p>
        </w:tc>
        <w:tc>
          <w:tcPr>
            <w:tcW w:w="1998" w:type="dxa"/>
            <w:tcBorders>
              <w:top w:val="single" w:sz="4" w:space="0" w:color="auto"/>
              <w:left w:val="nil"/>
              <w:bottom w:val="single" w:sz="4" w:space="0" w:color="auto"/>
              <w:right w:val="single" w:sz="8" w:space="0" w:color="auto"/>
              <w:tr2bl w:val="single" w:sz="4" w:space="0" w:color="auto"/>
            </w:tcBorders>
            <w:vAlign w:val="center"/>
          </w:tcPr>
          <w:p w14:paraId="0908C943" w14:textId="2264B1A2" w:rsidR="00017CC7" w:rsidRPr="00375341" w:rsidRDefault="00017CC7" w:rsidP="00017CC7">
            <w:pPr>
              <w:pStyle w:val="Bezriadkovania"/>
            </w:pPr>
          </w:p>
        </w:tc>
        <w:tc>
          <w:tcPr>
            <w:tcW w:w="1998" w:type="dxa"/>
            <w:tcBorders>
              <w:top w:val="single" w:sz="4" w:space="0" w:color="auto"/>
              <w:left w:val="nil"/>
              <w:bottom w:val="single" w:sz="4" w:space="0" w:color="auto"/>
              <w:right w:val="single" w:sz="8" w:space="0" w:color="auto"/>
              <w:tr2bl w:val="single" w:sz="4" w:space="0" w:color="auto"/>
            </w:tcBorders>
          </w:tcPr>
          <w:p w14:paraId="311DCA62" w14:textId="0BFF6980" w:rsidR="00017CC7" w:rsidRPr="00375341" w:rsidRDefault="00017CC7" w:rsidP="00017CC7">
            <w:pPr>
              <w:pStyle w:val="Bezriadkovania"/>
            </w:pPr>
          </w:p>
        </w:tc>
        <w:tc>
          <w:tcPr>
            <w:tcW w:w="1998" w:type="dxa"/>
            <w:tcBorders>
              <w:top w:val="single" w:sz="4" w:space="0" w:color="auto"/>
              <w:left w:val="nil"/>
              <w:bottom w:val="single" w:sz="4" w:space="0" w:color="auto"/>
              <w:right w:val="single" w:sz="8" w:space="0" w:color="auto"/>
              <w:tr2bl w:val="single" w:sz="4" w:space="0" w:color="auto"/>
            </w:tcBorders>
            <w:vAlign w:val="center"/>
          </w:tcPr>
          <w:p w14:paraId="5EE9F089" w14:textId="607EF837" w:rsidR="00017CC7" w:rsidRPr="00375341" w:rsidRDefault="00017CC7" w:rsidP="00017CC7">
            <w:pPr>
              <w:pStyle w:val="Bezriadkovania"/>
            </w:pPr>
          </w:p>
        </w:tc>
        <w:tc>
          <w:tcPr>
            <w:tcW w:w="1998" w:type="dxa"/>
            <w:tcBorders>
              <w:top w:val="single" w:sz="4" w:space="0" w:color="auto"/>
              <w:left w:val="nil"/>
              <w:bottom w:val="single" w:sz="4" w:space="0" w:color="auto"/>
              <w:right w:val="single" w:sz="8" w:space="0" w:color="auto"/>
            </w:tcBorders>
            <w:vAlign w:val="center"/>
          </w:tcPr>
          <w:p w14:paraId="60BFD5C1" w14:textId="0D20ABEA" w:rsidR="00017CC7" w:rsidRPr="00375341" w:rsidDel="00017CC7" w:rsidRDefault="00017CC7" w:rsidP="00017CC7">
            <w:pPr>
              <w:pStyle w:val="Bezriadkovania"/>
            </w:pPr>
            <w:r w:rsidRPr="000D1551">
              <w:rPr>
                <w:rFonts w:cstheme="minorHAnsi"/>
              </w:rPr>
              <w:t>Výsledok hospodárenia za účtovné obdobie</w:t>
            </w:r>
          </w:p>
        </w:tc>
      </w:tr>
      <w:tr w:rsidR="00017CC7" w:rsidRPr="00375341" w14:paraId="3A651D12" w14:textId="3A783B7C" w:rsidTr="009E0C4D">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3753F62A" w14:textId="77777777" w:rsidR="00017CC7" w:rsidRPr="00375341" w:rsidRDefault="00017CC7" w:rsidP="00017CC7">
            <w:pPr>
              <w:pStyle w:val="Bezriadkovania"/>
            </w:pPr>
            <w:r w:rsidRPr="00375341">
              <w:t>Modifikované vlastné imanie</w:t>
            </w:r>
          </w:p>
        </w:tc>
        <w:tc>
          <w:tcPr>
            <w:tcW w:w="1998" w:type="dxa"/>
            <w:tcBorders>
              <w:top w:val="nil"/>
              <w:left w:val="nil"/>
              <w:bottom w:val="single" w:sz="4" w:space="0" w:color="auto"/>
              <w:right w:val="single" w:sz="4" w:space="0" w:color="auto"/>
            </w:tcBorders>
            <w:shd w:val="clear" w:color="auto" w:fill="auto"/>
            <w:noWrap/>
            <w:vAlign w:val="center"/>
          </w:tcPr>
          <w:p w14:paraId="2B176A99" w14:textId="77777777" w:rsidR="00017CC7" w:rsidRPr="00375341" w:rsidRDefault="00017CC7" w:rsidP="00017CC7">
            <w:pPr>
              <w:pStyle w:val="Bezriadkovania"/>
            </w:pPr>
            <w:r w:rsidRPr="00375341">
              <w:t>vlastné imanie + akumulovaná strata</w:t>
            </w:r>
          </w:p>
        </w:tc>
        <w:tc>
          <w:tcPr>
            <w:tcW w:w="1998" w:type="dxa"/>
            <w:tcBorders>
              <w:top w:val="nil"/>
              <w:left w:val="nil"/>
              <w:bottom w:val="single" w:sz="4" w:space="0" w:color="auto"/>
              <w:right w:val="single" w:sz="8" w:space="0" w:color="auto"/>
            </w:tcBorders>
            <w:shd w:val="clear" w:color="auto" w:fill="auto"/>
            <w:noWrap/>
            <w:vAlign w:val="center"/>
          </w:tcPr>
          <w:p w14:paraId="3C61320B" w14:textId="77777777" w:rsidR="00017CC7" w:rsidRPr="00375341" w:rsidRDefault="00017CC7" w:rsidP="00017CC7">
            <w:pPr>
              <w:pStyle w:val="Bezriadkovania"/>
            </w:pPr>
            <w:r w:rsidRPr="00375341">
              <w:t>vlastné imanie + akumulovaná strata</w:t>
            </w:r>
          </w:p>
        </w:tc>
        <w:tc>
          <w:tcPr>
            <w:tcW w:w="1997" w:type="dxa"/>
            <w:tcBorders>
              <w:top w:val="nil"/>
              <w:left w:val="nil"/>
              <w:bottom w:val="single" w:sz="4" w:space="0" w:color="auto"/>
              <w:right w:val="single" w:sz="8" w:space="0" w:color="auto"/>
            </w:tcBorders>
            <w:vAlign w:val="center"/>
          </w:tcPr>
          <w:p w14:paraId="77C9AE41" w14:textId="77777777" w:rsidR="00017CC7" w:rsidRPr="00375341" w:rsidRDefault="00017CC7" w:rsidP="00017CC7">
            <w:pPr>
              <w:pStyle w:val="Bezriadkovania"/>
            </w:pPr>
            <w:r w:rsidRPr="00375341">
              <w:t>vlastné imanie + akumulovaná strata</w:t>
            </w:r>
          </w:p>
        </w:tc>
        <w:tc>
          <w:tcPr>
            <w:tcW w:w="1998" w:type="dxa"/>
            <w:tcBorders>
              <w:top w:val="single" w:sz="4" w:space="0" w:color="auto"/>
              <w:left w:val="nil"/>
              <w:bottom w:val="single" w:sz="4" w:space="0" w:color="auto"/>
              <w:right w:val="single" w:sz="8" w:space="0" w:color="auto"/>
              <w:tr2bl w:val="single" w:sz="4" w:space="0" w:color="auto"/>
            </w:tcBorders>
            <w:vAlign w:val="center"/>
          </w:tcPr>
          <w:p w14:paraId="0F2EE0CA" w14:textId="1C0E1CB4" w:rsidR="00017CC7" w:rsidRPr="00375341" w:rsidRDefault="00017CC7" w:rsidP="00017CC7">
            <w:pPr>
              <w:pStyle w:val="Bezriadkovania"/>
            </w:pPr>
          </w:p>
        </w:tc>
        <w:tc>
          <w:tcPr>
            <w:tcW w:w="1998" w:type="dxa"/>
            <w:tcBorders>
              <w:top w:val="single" w:sz="4" w:space="0" w:color="auto"/>
              <w:left w:val="nil"/>
              <w:bottom w:val="single" w:sz="4" w:space="0" w:color="auto"/>
              <w:right w:val="single" w:sz="8" w:space="0" w:color="auto"/>
              <w:tr2bl w:val="single" w:sz="4" w:space="0" w:color="auto"/>
            </w:tcBorders>
            <w:vAlign w:val="center"/>
          </w:tcPr>
          <w:p w14:paraId="14724B86" w14:textId="646FF68A" w:rsidR="00017CC7" w:rsidRPr="00375341" w:rsidRDefault="00017CC7" w:rsidP="00017CC7">
            <w:pPr>
              <w:pStyle w:val="Bezriadkovania"/>
            </w:pPr>
          </w:p>
        </w:tc>
        <w:tc>
          <w:tcPr>
            <w:tcW w:w="1998" w:type="dxa"/>
            <w:tcBorders>
              <w:top w:val="single" w:sz="4" w:space="0" w:color="auto"/>
              <w:left w:val="nil"/>
              <w:bottom w:val="single" w:sz="4" w:space="0" w:color="auto"/>
              <w:right w:val="single" w:sz="8" w:space="0" w:color="auto"/>
              <w:tr2bl w:val="single" w:sz="4" w:space="0" w:color="auto"/>
            </w:tcBorders>
            <w:vAlign w:val="center"/>
          </w:tcPr>
          <w:p w14:paraId="7FC8189C" w14:textId="3651F21C" w:rsidR="00017CC7" w:rsidRPr="00375341" w:rsidRDefault="00017CC7" w:rsidP="00017CC7">
            <w:pPr>
              <w:pStyle w:val="Bezriadkovania"/>
            </w:pPr>
          </w:p>
        </w:tc>
        <w:tc>
          <w:tcPr>
            <w:tcW w:w="1998" w:type="dxa"/>
            <w:tcBorders>
              <w:top w:val="single" w:sz="4" w:space="0" w:color="auto"/>
              <w:left w:val="nil"/>
              <w:bottom w:val="single" w:sz="4" w:space="0" w:color="auto"/>
              <w:right w:val="single" w:sz="8" w:space="0" w:color="auto"/>
            </w:tcBorders>
            <w:vAlign w:val="center"/>
          </w:tcPr>
          <w:p w14:paraId="318ECCE1" w14:textId="396FF637" w:rsidR="00017CC7" w:rsidRPr="00375341" w:rsidDel="00017CC7" w:rsidRDefault="00017CC7" w:rsidP="00017CC7">
            <w:pPr>
              <w:pStyle w:val="Bezriadkovania"/>
            </w:pPr>
            <w:r w:rsidRPr="000D1551">
              <w:rPr>
                <w:rFonts w:cstheme="minorHAnsi"/>
              </w:rPr>
              <w:t>vlastné imanie + akumulovaná strata</w:t>
            </w:r>
          </w:p>
        </w:tc>
      </w:tr>
      <w:tr w:rsidR="00017CC7" w:rsidRPr="00375341" w14:paraId="4824C4CB" w14:textId="4E569C7E" w:rsidTr="009E0C4D">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tcPr>
          <w:p w14:paraId="541913E1" w14:textId="77777777" w:rsidR="00017CC7" w:rsidRPr="00375341" w:rsidRDefault="00017CC7" w:rsidP="00017CC7">
            <w:pPr>
              <w:pStyle w:val="Bezriadkovania"/>
            </w:pPr>
            <w:r w:rsidRPr="00375341">
              <w:t>Odpisy</w:t>
            </w:r>
          </w:p>
        </w:tc>
        <w:tc>
          <w:tcPr>
            <w:tcW w:w="1998" w:type="dxa"/>
            <w:tcBorders>
              <w:top w:val="nil"/>
              <w:left w:val="nil"/>
              <w:bottom w:val="single" w:sz="4" w:space="0" w:color="auto"/>
              <w:right w:val="single" w:sz="4" w:space="0" w:color="auto"/>
            </w:tcBorders>
            <w:shd w:val="clear" w:color="auto" w:fill="auto"/>
            <w:noWrap/>
            <w:vAlign w:val="center"/>
          </w:tcPr>
          <w:p w14:paraId="611C7E7F" w14:textId="77777777" w:rsidR="00017CC7" w:rsidRPr="00375341" w:rsidRDefault="00017CC7" w:rsidP="00017CC7">
            <w:pPr>
              <w:pStyle w:val="Bezriadkovania"/>
            </w:pPr>
            <w:r w:rsidRPr="00375341">
              <w:t>VZaS_21</w:t>
            </w:r>
          </w:p>
        </w:tc>
        <w:tc>
          <w:tcPr>
            <w:tcW w:w="1998" w:type="dxa"/>
            <w:tcBorders>
              <w:top w:val="nil"/>
              <w:left w:val="nil"/>
              <w:bottom w:val="single" w:sz="4" w:space="0" w:color="auto"/>
              <w:right w:val="single" w:sz="8" w:space="0" w:color="auto"/>
            </w:tcBorders>
            <w:shd w:val="clear" w:color="auto" w:fill="auto"/>
            <w:noWrap/>
            <w:vAlign w:val="center"/>
          </w:tcPr>
          <w:p w14:paraId="1D2DAD39" w14:textId="77777777" w:rsidR="00017CC7" w:rsidRPr="00375341" w:rsidRDefault="00017CC7" w:rsidP="00017CC7">
            <w:pPr>
              <w:pStyle w:val="Bezriadkovania"/>
            </w:pPr>
            <w:r w:rsidRPr="00375341">
              <w:t>VZaS_14</w:t>
            </w:r>
          </w:p>
        </w:tc>
        <w:tc>
          <w:tcPr>
            <w:tcW w:w="1997" w:type="dxa"/>
            <w:tcBorders>
              <w:top w:val="nil"/>
              <w:left w:val="nil"/>
              <w:bottom w:val="single" w:sz="4" w:space="0" w:color="auto"/>
              <w:right w:val="single" w:sz="8" w:space="0" w:color="auto"/>
            </w:tcBorders>
            <w:vAlign w:val="center"/>
          </w:tcPr>
          <w:p w14:paraId="7C5B2A70" w14:textId="77777777" w:rsidR="00017CC7" w:rsidRPr="00375341" w:rsidRDefault="00017CC7" w:rsidP="00017CC7">
            <w:pPr>
              <w:pStyle w:val="Bezriadkovania"/>
            </w:pPr>
            <w:r w:rsidRPr="00375341">
              <w:t>doplňujúci údaj</w:t>
            </w:r>
          </w:p>
        </w:tc>
        <w:tc>
          <w:tcPr>
            <w:tcW w:w="1998" w:type="dxa"/>
            <w:tcBorders>
              <w:top w:val="nil"/>
              <w:left w:val="nil"/>
              <w:bottom w:val="single" w:sz="4" w:space="0" w:color="auto"/>
              <w:right w:val="single" w:sz="8" w:space="0" w:color="auto"/>
            </w:tcBorders>
            <w:vAlign w:val="center"/>
          </w:tcPr>
          <w:p w14:paraId="5077F682" w14:textId="77777777" w:rsidR="00017CC7" w:rsidRPr="00375341" w:rsidRDefault="00017CC7" w:rsidP="00017CC7">
            <w:pPr>
              <w:pStyle w:val="Bezriadkovania"/>
            </w:pPr>
            <w:r w:rsidRPr="00375341">
              <w:t>VZaS_030</w:t>
            </w:r>
          </w:p>
        </w:tc>
        <w:tc>
          <w:tcPr>
            <w:tcW w:w="1998" w:type="dxa"/>
            <w:tcBorders>
              <w:top w:val="nil"/>
              <w:left w:val="nil"/>
              <w:bottom w:val="single" w:sz="4" w:space="0" w:color="auto"/>
              <w:right w:val="single" w:sz="8" w:space="0" w:color="auto"/>
            </w:tcBorders>
            <w:vAlign w:val="center"/>
          </w:tcPr>
          <w:p w14:paraId="2538C1C1" w14:textId="77777777" w:rsidR="00017CC7" w:rsidRPr="00375341" w:rsidRDefault="00017CC7" w:rsidP="00017CC7">
            <w:pPr>
              <w:pStyle w:val="Bezriadkovania"/>
            </w:pPr>
            <w:r w:rsidRPr="00375341">
              <w:t>VZaS_25</w:t>
            </w:r>
          </w:p>
        </w:tc>
        <w:tc>
          <w:tcPr>
            <w:tcW w:w="1998" w:type="dxa"/>
            <w:tcBorders>
              <w:top w:val="nil"/>
              <w:left w:val="nil"/>
              <w:bottom w:val="single" w:sz="4" w:space="0" w:color="auto"/>
              <w:right w:val="single" w:sz="8" w:space="0" w:color="auto"/>
            </w:tcBorders>
            <w:vAlign w:val="center"/>
          </w:tcPr>
          <w:p w14:paraId="0D6DCB81" w14:textId="77777777" w:rsidR="00017CC7" w:rsidRPr="00375341" w:rsidRDefault="00017CC7" w:rsidP="00017CC7">
            <w:pPr>
              <w:pStyle w:val="Bezriadkovania"/>
            </w:pPr>
            <w:r w:rsidRPr="00375341">
              <w:t>doplňujúci údaj</w:t>
            </w:r>
          </w:p>
        </w:tc>
        <w:tc>
          <w:tcPr>
            <w:tcW w:w="1998" w:type="dxa"/>
            <w:tcBorders>
              <w:top w:val="nil"/>
              <w:left w:val="nil"/>
              <w:bottom w:val="single" w:sz="4" w:space="0" w:color="auto"/>
              <w:right w:val="single" w:sz="8" w:space="0" w:color="auto"/>
            </w:tcBorders>
            <w:vAlign w:val="center"/>
          </w:tcPr>
          <w:p w14:paraId="6BBE75EC" w14:textId="17457D64" w:rsidR="00017CC7" w:rsidRPr="00375341" w:rsidRDefault="00017CC7" w:rsidP="00017CC7">
            <w:pPr>
              <w:pStyle w:val="Bezriadkovania"/>
            </w:pPr>
            <w:r w:rsidRPr="000D1551">
              <w:rPr>
                <w:rFonts w:cstheme="minorHAnsi"/>
              </w:rPr>
              <w:t>doplňujúci údaj</w:t>
            </w:r>
          </w:p>
        </w:tc>
      </w:tr>
      <w:tr w:rsidR="00017CC7" w:rsidRPr="00375341" w14:paraId="72925537" w14:textId="04BECB02" w:rsidTr="009E0C4D">
        <w:trPr>
          <w:trHeight w:val="154"/>
          <w:jc w:val="center"/>
        </w:trPr>
        <w:tc>
          <w:tcPr>
            <w:tcW w:w="1997" w:type="dxa"/>
            <w:tcBorders>
              <w:top w:val="nil"/>
              <w:left w:val="single" w:sz="8" w:space="0" w:color="auto"/>
              <w:bottom w:val="single" w:sz="4" w:space="0" w:color="auto"/>
              <w:right w:val="single" w:sz="4" w:space="0" w:color="auto"/>
            </w:tcBorders>
            <w:shd w:val="clear" w:color="auto" w:fill="auto"/>
            <w:noWrap/>
            <w:vAlign w:val="center"/>
            <w:hideMark/>
          </w:tcPr>
          <w:p w14:paraId="459E6AAD" w14:textId="77777777" w:rsidR="00017CC7" w:rsidRPr="00375341" w:rsidRDefault="00017CC7" w:rsidP="00017CC7">
            <w:pPr>
              <w:pStyle w:val="Bezriadkovania"/>
            </w:pPr>
            <w:r w:rsidRPr="00375341">
              <w:lastRenderedPageBreak/>
              <w:t>EBITDA</w:t>
            </w:r>
          </w:p>
        </w:tc>
        <w:tc>
          <w:tcPr>
            <w:tcW w:w="1998" w:type="dxa"/>
            <w:tcBorders>
              <w:top w:val="nil"/>
              <w:left w:val="nil"/>
              <w:bottom w:val="single" w:sz="4" w:space="0" w:color="auto"/>
              <w:right w:val="single" w:sz="4" w:space="0" w:color="auto"/>
            </w:tcBorders>
            <w:shd w:val="clear" w:color="auto" w:fill="auto"/>
            <w:noWrap/>
            <w:vAlign w:val="center"/>
            <w:hideMark/>
          </w:tcPr>
          <w:p w14:paraId="696F3AE6" w14:textId="77777777" w:rsidR="00017CC7" w:rsidRPr="00375341" w:rsidRDefault="00017CC7" w:rsidP="00017CC7">
            <w:pPr>
              <w:pStyle w:val="Bezriadkovania"/>
            </w:pPr>
            <w:r w:rsidRPr="00375341">
              <w:t>VZaS_56 + VZaS_49 + VZaS_21</w:t>
            </w:r>
          </w:p>
        </w:tc>
        <w:tc>
          <w:tcPr>
            <w:tcW w:w="1998" w:type="dxa"/>
            <w:tcBorders>
              <w:top w:val="nil"/>
              <w:left w:val="nil"/>
              <w:bottom w:val="single" w:sz="4" w:space="0" w:color="auto"/>
              <w:right w:val="single" w:sz="8" w:space="0" w:color="auto"/>
            </w:tcBorders>
            <w:shd w:val="clear" w:color="auto" w:fill="auto"/>
            <w:noWrap/>
            <w:vAlign w:val="center"/>
            <w:hideMark/>
          </w:tcPr>
          <w:p w14:paraId="6B337167" w14:textId="77777777" w:rsidR="00017CC7" w:rsidRPr="00375341" w:rsidRDefault="00017CC7" w:rsidP="00017CC7">
            <w:pPr>
              <w:pStyle w:val="Bezriadkovania"/>
            </w:pPr>
            <w:r w:rsidRPr="00375341">
              <w:t>VZaS_35 + VZaS_31 + VZaS_14</w:t>
            </w:r>
          </w:p>
        </w:tc>
        <w:tc>
          <w:tcPr>
            <w:tcW w:w="1997" w:type="dxa"/>
            <w:tcBorders>
              <w:top w:val="nil"/>
              <w:left w:val="nil"/>
              <w:bottom w:val="single" w:sz="4" w:space="0" w:color="auto"/>
              <w:right w:val="single" w:sz="8" w:space="0" w:color="auto"/>
            </w:tcBorders>
            <w:vAlign w:val="center"/>
          </w:tcPr>
          <w:p w14:paraId="2F92732E" w14:textId="77777777" w:rsidR="00017CC7" w:rsidRPr="00375341" w:rsidRDefault="00017CC7" w:rsidP="00017CC7">
            <w:pPr>
              <w:pStyle w:val="Bezriadkovania"/>
            </w:pPr>
            <w:r w:rsidRPr="00375341">
              <w:t>PaV_12 + NÚ + odpisy</w:t>
            </w:r>
          </w:p>
        </w:tc>
        <w:tc>
          <w:tcPr>
            <w:tcW w:w="1998" w:type="dxa"/>
            <w:tcBorders>
              <w:top w:val="nil"/>
              <w:left w:val="nil"/>
              <w:bottom w:val="single" w:sz="4" w:space="0" w:color="auto"/>
              <w:right w:val="single" w:sz="8" w:space="0" w:color="auto"/>
            </w:tcBorders>
            <w:vAlign w:val="center"/>
          </w:tcPr>
          <w:p w14:paraId="205981CE" w14:textId="77777777" w:rsidR="00017CC7" w:rsidRPr="00375341" w:rsidRDefault="00017CC7" w:rsidP="00017CC7">
            <w:pPr>
              <w:pStyle w:val="Bezriadkovania"/>
            </w:pPr>
            <w:r w:rsidRPr="00375341">
              <w:t>VZaS_135 + VZaS_042 + VZaS_030</w:t>
            </w:r>
          </w:p>
        </w:tc>
        <w:tc>
          <w:tcPr>
            <w:tcW w:w="1998" w:type="dxa"/>
            <w:tcBorders>
              <w:top w:val="nil"/>
              <w:left w:val="nil"/>
              <w:bottom w:val="single" w:sz="4" w:space="0" w:color="auto"/>
              <w:right w:val="single" w:sz="8" w:space="0" w:color="auto"/>
            </w:tcBorders>
            <w:vAlign w:val="center"/>
          </w:tcPr>
          <w:p w14:paraId="24D58A5D" w14:textId="77777777" w:rsidR="00017CC7" w:rsidRPr="00375341" w:rsidRDefault="00017CC7" w:rsidP="00017CC7">
            <w:pPr>
              <w:pStyle w:val="Bezriadkovania"/>
            </w:pPr>
            <w:r w:rsidRPr="00375341">
              <w:t>VZaS_75 + VZaS_19 + VZaS_25</w:t>
            </w:r>
          </w:p>
        </w:tc>
        <w:tc>
          <w:tcPr>
            <w:tcW w:w="1998" w:type="dxa"/>
            <w:tcBorders>
              <w:top w:val="nil"/>
              <w:left w:val="nil"/>
              <w:bottom w:val="single" w:sz="4" w:space="0" w:color="auto"/>
              <w:right w:val="single" w:sz="8" w:space="0" w:color="auto"/>
            </w:tcBorders>
            <w:vAlign w:val="center"/>
          </w:tcPr>
          <w:p w14:paraId="2F29D30D" w14:textId="77777777" w:rsidR="00017CC7" w:rsidRPr="00375341" w:rsidRDefault="00017CC7" w:rsidP="00017CC7">
            <w:pPr>
              <w:pStyle w:val="Bezriadkovania"/>
            </w:pPr>
            <w:r w:rsidRPr="00375341">
              <w:t>PaV_26 + NÚ + odpisy</w:t>
            </w:r>
          </w:p>
        </w:tc>
        <w:tc>
          <w:tcPr>
            <w:tcW w:w="1998" w:type="dxa"/>
            <w:tcBorders>
              <w:top w:val="nil"/>
              <w:left w:val="nil"/>
              <w:bottom w:val="single" w:sz="4" w:space="0" w:color="auto"/>
              <w:right w:val="single" w:sz="8" w:space="0" w:color="auto"/>
            </w:tcBorders>
            <w:vAlign w:val="center"/>
          </w:tcPr>
          <w:p w14:paraId="267ED156" w14:textId="5FE81DE6" w:rsidR="00017CC7" w:rsidRPr="00375341" w:rsidRDefault="00017CC7" w:rsidP="00017CC7">
            <w:pPr>
              <w:pStyle w:val="Bezriadkovania"/>
            </w:pPr>
            <w:r w:rsidRPr="000D1551">
              <w:rPr>
                <w:rFonts w:cstheme="minorHAnsi"/>
              </w:rPr>
              <w:t>Výsledok hospodárenia za účtovné obdobie + NÚ + odpisy</w:t>
            </w:r>
          </w:p>
        </w:tc>
      </w:tr>
      <w:tr w:rsidR="00017CC7" w:rsidRPr="00375341" w14:paraId="69DE202A" w14:textId="6A31A043" w:rsidTr="009E0C4D">
        <w:trPr>
          <w:trHeight w:val="163"/>
          <w:jc w:val="center"/>
        </w:trPr>
        <w:tc>
          <w:tcPr>
            <w:tcW w:w="1997" w:type="dxa"/>
            <w:tcBorders>
              <w:top w:val="nil"/>
              <w:left w:val="single" w:sz="8" w:space="0" w:color="auto"/>
              <w:bottom w:val="single" w:sz="8" w:space="0" w:color="auto"/>
              <w:right w:val="single" w:sz="4" w:space="0" w:color="auto"/>
            </w:tcBorders>
            <w:shd w:val="clear" w:color="auto" w:fill="auto"/>
            <w:noWrap/>
            <w:vAlign w:val="center"/>
            <w:hideMark/>
          </w:tcPr>
          <w:p w14:paraId="72DC015C" w14:textId="77777777" w:rsidR="00017CC7" w:rsidRPr="00375341" w:rsidRDefault="00017CC7" w:rsidP="00017CC7">
            <w:pPr>
              <w:pStyle w:val="Bezriadkovania"/>
            </w:pPr>
            <w:r w:rsidRPr="00375341">
              <w:t>Nákladové úroky</w:t>
            </w:r>
          </w:p>
        </w:tc>
        <w:tc>
          <w:tcPr>
            <w:tcW w:w="1998" w:type="dxa"/>
            <w:tcBorders>
              <w:top w:val="nil"/>
              <w:left w:val="nil"/>
              <w:bottom w:val="single" w:sz="8" w:space="0" w:color="auto"/>
              <w:right w:val="single" w:sz="4" w:space="0" w:color="auto"/>
            </w:tcBorders>
            <w:shd w:val="clear" w:color="auto" w:fill="auto"/>
            <w:noWrap/>
            <w:vAlign w:val="center"/>
            <w:hideMark/>
          </w:tcPr>
          <w:p w14:paraId="7D2D134A" w14:textId="77777777" w:rsidR="00017CC7" w:rsidRPr="00375341" w:rsidRDefault="00017CC7" w:rsidP="00017CC7">
            <w:pPr>
              <w:pStyle w:val="Bezriadkovania"/>
            </w:pPr>
            <w:r w:rsidRPr="00375341">
              <w:t>VZaS_49</w:t>
            </w:r>
          </w:p>
        </w:tc>
        <w:tc>
          <w:tcPr>
            <w:tcW w:w="1998" w:type="dxa"/>
            <w:tcBorders>
              <w:top w:val="nil"/>
              <w:left w:val="nil"/>
              <w:bottom w:val="single" w:sz="8" w:space="0" w:color="auto"/>
              <w:right w:val="single" w:sz="8" w:space="0" w:color="auto"/>
            </w:tcBorders>
            <w:shd w:val="clear" w:color="auto" w:fill="auto"/>
            <w:noWrap/>
            <w:vAlign w:val="center"/>
            <w:hideMark/>
          </w:tcPr>
          <w:p w14:paraId="4549FB3D" w14:textId="77777777" w:rsidR="00017CC7" w:rsidRPr="00375341" w:rsidRDefault="00017CC7" w:rsidP="00017CC7">
            <w:pPr>
              <w:pStyle w:val="Bezriadkovania"/>
            </w:pPr>
            <w:r w:rsidRPr="00375341">
              <w:t>VZaS_31</w:t>
            </w:r>
          </w:p>
        </w:tc>
        <w:tc>
          <w:tcPr>
            <w:tcW w:w="1997" w:type="dxa"/>
            <w:tcBorders>
              <w:top w:val="nil"/>
              <w:left w:val="nil"/>
              <w:bottom w:val="single" w:sz="8" w:space="0" w:color="auto"/>
              <w:right w:val="single" w:sz="8" w:space="0" w:color="auto"/>
            </w:tcBorders>
            <w:vAlign w:val="center"/>
          </w:tcPr>
          <w:p w14:paraId="423828A7" w14:textId="77777777" w:rsidR="00017CC7" w:rsidRPr="00375341" w:rsidRDefault="00017CC7" w:rsidP="00017CC7">
            <w:pPr>
              <w:pStyle w:val="Bezriadkovania"/>
            </w:pPr>
            <w:r w:rsidRPr="00375341">
              <w:t>doplňujúci údaj</w:t>
            </w:r>
          </w:p>
        </w:tc>
        <w:tc>
          <w:tcPr>
            <w:tcW w:w="1998" w:type="dxa"/>
            <w:tcBorders>
              <w:top w:val="nil"/>
              <w:left w:val="nil"/>
              <w:bottom w:val="single" w:sz="8" w:space="0" w:color="auto"/>
              <w:right w:val="single" w:sz="8" w:space="0" w:color="auto"/>
            </w:tcBorders>
            <w:vAlign w:val="center"/>
          </w:tcPr>
          <w:p w14:paraId="7F7C722B" w14:textId="77777777" w:rsidR="00017CC7" w:rsidRPr="00375341" w:rsidRDefault="00017CC7" w:rsidP="00017CC7">
            <w:pPr>
              <w:pStyle w:val="Bezriadkovania"/>
            </w:pPr>
            <w:r w:rsidRPr="00375341">
              <w:t>VZaS_042</w:t>
            </w:r>
          </w:p>
        </w:tc>
        <w:tc>
          <w:tcPr>
            <w:tcW w:w="1998" w:type="dxa"/>
            <w:tcBorders>
              <w:top w:val="nil"/>
              <w:left w:val="nil"/>
              <w:bottom w:val="single" w:sz="8" w:space="0" w:color="auto"/>
              <w:right w:val="single" w:sz="8" w:space="0" w:color="auto"/>
            </w:tcBorders>
          </w:tcPr>
          <w:p w14:paraId="6434E437" w14:textId="77777777" w:rsidR="00017CC7" w:rsidRPr="00375341" w:rsidRDefault="00017CC7" w:rsidP="00017CC7">
            <w:pPr>
              <w:pStyle w:val="Bezriadkovania"/>
            </w:pPr>
            <w:r w:rsidRPr="00375341">
              <w:t>VZaS_19</w:t>
            </w:r>
          </w:p>
        </w:tc>
        <w:tc>
          <w:tcPr>
            <w:tcW w:w="1998" w:type="dxa"/>
            <w:tcBorders>
              <w:top w:val="nil"/>
              <w:left w:val="nil"/>
              <w:bottom w:val="single" w:sz="8" w:space="0" w:color="auto"/>
              <w:right w:val="single" w:sz="8" w:space="0" w:color="auto"/>
            </w:tcBorders>
            <w:vAlign w:val="center"/>
          </w:tcPr>
          <w:p w14:paraId="5C23F0EA" w14:textId="77777777" w:rsidR="00017CC7" w:rsidRPr="00375341" w:rsidRDefault="00017CC7" w:rsidP="00017CC7">
            <w:pPr>
              <w:pStyle w:val="Bezriadkovania"/>
            </w:pPr>
            <w:r w:rsidRPr="00375341">
              <w:t>doplňujúci údaj</w:t>
            </w:r>
          </w:p>
        </w:tc>
        <w:tc>
          <w:tcPr>
            <w:tcW w:w="1998" w:type="dxa"/>
            <w:tcBorders>
              <w:top w:val="nil"/>
              <w:left w:val="nil"/>
              <w:bottom w:val="single" w:sz="8" w:space="0" w:color="auto"/>
              <w:right w:val="single" w:sz="8" w:space="0" w:color="auto"/>
            </w:tcBorders>
            <w:vAlign w:val="center"/>
          </w:tcPr>
          <w:p w14:paraId="0CDE2A3F" w14:textId="66CFDFB6" w:rsidR="00017CC7" w:rsidRPr="00375341" w:rsidRDefault="00017CC7" w:rsidP="00017CC7">
            <w:pPr>
              <w:pStyle w:val="Bezriadkovania"/>
            </w:pPr>
            <w:r w:rsidRPr="000D1551">
              <w:rPr>
                <w:rFonts w:cstheme="minorHAnsi"/>
              </w:rPr>
              <w:t>doplňujúci údaj</w:t>
            </w:r>
          </w:p>
        </w:tc>
      </w:tr>
    </w:tbl>
    <w:p w14:paraId="0984DF53" w14:textId="77777777" w:rsidR="00840806" w:rsidRPr="00375341" w:rsidRDefault="00840806" w:rsidP="00840806">
      <w:pPr>
        <w:pStyle w:val="Bezriadkovania"/>
      </w:pPr>
    </w:p>
    <w:p w14:paraId="4978347D" w14:textId="77777777" w:rsidR="00840806" w:rsidRPr="00375341" w:rsidRDefault="00840806" w:rsidP="00840806">
      <w:pPr>
        <w:pStyle w:val="Bezriadkovania"/>
        <w:sectPr w:rsidR="00840806" w:rsidRPr="00375341" w:rsidSect="00630912">
          <w:pgSz w:w="16838" w:h="11906" w:orient="landscape"/>
          <w:pgMar w:top="1418" w:right="1418" w:bottom="1418" w:left="1418" w:header="709" w:footer="709" w:gutter="0"/>
          <w:cols w:space="708"/>
          <w:titlePg/>
          <w:docGrid w:linePitch="360"/>
        </w:sectPr>
      </w:pPr>
    </w:p>
    <w:p w14:paraId="2382883D" w14:textId="7983D815" w:rsidR="00840806" w:rsidRPr="00375341" w:rsidRDefault="00840806" w:rsidP="00840806">
      <w:pPr>
        <w:pStyle w:val="Bezriadkovania"/>
        <w:rPr>
          <w:b/>
        </w:rPr>
      </w:pPr>
      <w:r w:rsidRPr="00375341">
        <w:rPr>
          <w:b/>
        </w:rPr>
        <w:lastRenderedPageBreak/>
        <w:t>Vysvetlivky k tabuľke 1</w:t>
      </w:r>
    </w:p>
    <w:p w14:paraId="5205A074" w14:textId="77777777" w:rsidR="00836751" w:rsidRPr="00375341" w:rsidRDefault="00836751" w:rsidP="00840806">
      <w:pPr>
        <w:pStyle w:val="Bezriadkovania"/>
        <w:rPr>
          <w:b/>
        </w:rPr>
      </w:pPr>
    </w:p>
    <w:p w14:paraId="210158AA" w14:textId="670356A2" w:rsidR="00836751" w:rsidRPr="00375341" w:rsidRDefault="00840806" w:rsidP="00840806">
      <w:pPr>
        <w:pStyle w:val="Bezriadkovania"/>
      </w:pPr>
      <w:r w:rsidRPr="00375341">
        <w:t xml:space="preserve">Označenie v jednotlivých bunkách tabuľky zložené z písmena/písmen, </w:t>
      </w:r>
      <w:proofErr w:type="spellStart"/>
      <w:r w:rsidRPr="00375341">
        <w:t>podčiarkovníka</w:t>
      </w:r>
      <w:proofErr w:type="spellEnd"/>
      <w:r w:rsidRPr="00375341">
        <w:t xml:space="preserve"> a čísla označuje výkaz a číslo riadka, pričom:</w:t>
      </w:r>
    </w:p>
    <w:p w14:paraId="688CBA41" w14:textId="77777777" w:rsidR="00840806" w:rsidRPr="00830BE9" w:rsidRDefault="00840806" w:rsidP="00830BE9">
      <w:pPr>
        <w:spacing w:after="0" w:line="257" w:lineRule="auto"/>
        <w:rPr>
          <w:rFonts w:cstheme="minorHAnsi"/>
        </w:rPr>
      </w:pPr>
      <w:r w:rsidRPr="00830BE9">
        <w:rPr>
          <w:rFonts w:cstheme="minorHAnsi"/>
        </w:rPr>
        <w:t xml:space="preserve">S - </w:t>
      </w:r>
      <w:r w:rsidRPr="00830BE9">
        <w:rPr>
          <w:rFonts w:cstheme="minorHAnsi"/>
        </w:rPr>
        <w:tab/>
        <w:t>predstavuje výkaz účtovnej závierky „Súvaha“</w:t>
      </w:r>
    </w:p>
    <w:p w14:paraId="79D24266" w14:textId="77777777" w:rsidR="00840806" w:rsidRPr="00830BE9" w:rsidRDefault="00840806" w:rsidP="00830BE9">
      <w:pPr>
        <w:spacing w:after="0" w:line="257" w:lineRule="auto"/>
        <w:rPr>
          <w:rFonts w:cstheme="minorHAnsi"/>
        </w:rPr>
      </w:pPr>
      <w:proofErr w:type="spellStart"/>
      <w:r w:rsidRPr="00830BE9">
        <w:rPr>
          <w:rFonts w:cstheme="minorHAnsi"/>
        </w:rPr>
        <w:t>VZaS</w:t>
      </w:r>
      <w:proofErr w:type="spellEnd"/>
      <w:r w:rsidRPr="00830BE9">
        <w:rPr>
          <w:rFonts w:cstheme="minorHAnsi"/>
        </w:rPr>
        <w:t xml:space="preserve"> - </w:t>
      </w:r>
      <w:r w:rsidRPr="00830BE9">
        <w:rPr>
          <w:rFonts w:cstheme="minorHAnsi"/>
        </w:rPr>
        <w:tab/>
        <w:t>predstavuje výkaz účtovnej závierky „Výkaz ziskov a strát“</w:t>
      </w:r>
    </w:p>
    <w:p w14:paraId="124A4DC0" w14:textId="77777777" w:rsidR="00840806" w:rsidRPr="00830BE9" w:rsidRDefault="00840806" w:rsidP="00830BE9">
      <w:pPr>
        <w:spacing w:after="0" w:line="257" w:lineRule="auto"/>
        <w:rPr>
          <w:rFonts w:cstheme="minorHAnsi"/>
        </w:rPr>
      </w:pPr>
      <w:proofErr w:type="spellStart"/>
      <w:r w:rsidRPr="00830BE9">
        <w:rPr>
          <w:rFonts w:cstheme="minorHAnsi"/>
        </w:rPr>
        <w:t>MaZ</w:t>
      </w:r>
      <w:proofErr w:type="spellEnd"/>
      <w:r w:rsidRPr="00830BE9">
        <w:rPr>
          <w:rFonts w:cstheme="minorHAnsi"/>
        </w:rPr>
        <w:t xml:space="preserve"> - </w:t>
      </w:r>
      <w:r w:rsidRPr="00830BE9">
        <w:rPr>
          <w:rFonts w:cstheme="minorHAnsi"/>
        </w:rPr>
        <w:tab/>
        <w:t>predstavuje výkaz účtovnej závierky „Výkaz o majetku a záväzkoch“,</w:t>
      </w:r>
    </w:p>
    <w:p w14:paraId="47957A9E" w14:textId="77777777" w:rsidR="00840806" w:rsidRPr="00830BE9" w:rsidRDefault="00840806" w:rsidP="00830BE9">
      <w:pPr>
        <w:spacing w:after="0" w:line="257" w:lineRule="auto"/>
        <w:rPr>
          <w:rFonts w:cstheme="minorHAnsi"/>
        </w:rPr>
      </w:pPr>
      <w:proofErr w:type="spellStart"/>
      <w:r w:rsidRPr="00830BE9">
        <w:rPr>
          <w:rFonts w:cstheme="minorHAnsi"/>
        </w:rPr>
        <w:t>PaV</w:t>
      </w:r>
      <w:proofErr w:type="spellEnd"/>
      <w:r w:rsidRPr="00830BE9">
        <w:rPr>
          <w:rFonts w:cstheme="minorHAnsi"/>
        </w:rPr>
        <w:t xml:space="preserve"> - </w:t>
      </w:r>
      <w:r w:rsidRPr="00830BE9">
        <w:rPr>
          <w:rFonts w:cstheme="minorHAnsi"/>
        </w:rPr>
        <w:tab/>
        <w:t>predstavuje výkaz účtovnej závierky „Výkaz o príjmoch a výdavkoch“,</w:t>
      </w:r>
    </w:p>
    <w:p w14:paraId="7994622A" w14:textId="2F7CE073" w:rsidR="00840806" w:rsidRDefault="00840806" w:rsidP="00830BE9">
      <w:pPr>
        <w:spacing w:after="0" w:line="257" w:lineRule="auto"/>
        <w:rPr>
          <w:rFonts w:cstheme="minorHAnsi"/>
        </w:rPr>
      </w:pPr>
      <w:r w:rsidRPr="00830BE9">
        <w:rPr>
          <w:rFonts w:cstheme="minorHAnsi"/>
        </w:rPr>
        <w:t>NÚ -</w:t>
      </w:r>
      <w:r w:rsidRPr="00830BE9">
        <w:rPr>
          <w:rFonts w:cstheme="minorHAnsi"/>
        </w:rPr>
        <w:tab/>
        <w:t>nákladový úrok</w:t>
      </w:r>
    </w:p>
    <w:p w14:paraId="2F9783C8" w14:textId="77777777" w:rsidR="00830BE9" w:rsidRPr="00830BE9" w:rsidRDefault="00830BE9" w:rsidP="00830BE9">
      <w:pPr>
        <w:spacing w:after="0" w:line="257" w:lineRule="auto"/>
        <w:rPr>
          <w:rFonts w:cstheme="minorHAnsi"/>
        </w:rPr>
      </w:pPr>
      <w:r w:rsidRPr="00830BE9">
        <w:rPr>
          <w:rFonts w:cstheme="minorHAnsi"/>
        </w:rPr>
        <w:t>Číslo za písmenom predstavuje príslušný riadok výkazu obsahujúci údaje na posúdenie.</w:t>
      </w:r>
    </w:p>
    <w:p w14:paraId="64BB72EB" w14:textId="77777777" w:rsidR="00830BE9" w:rsidRPr="00830BE9" w:rsidRDefault="00830BE9" w:rsidP="00830BE9">
      <w:pPr>
        <w:spacing w:after="0" w:line="257" w:lineRule="auto"/>
        <w:rPr>
          <w:rFonts w:cstheme="minorHAnsi"/>
        </w:rPr>
      </w:pPr>
    </w:p>
    <w:p w14:paraId="0EC203D2" w14:textId="77777777" w:rsidR="00830BE9" w:rsidRPr="00BC2BA0" w:rsidRDefault="00830BE9" w:rsidP="00830BE9">
      <w:pPr>
        <w:spacing w:after="0" w:line="257" w:lineRule="auto"/>
        <w:rPr>
          <w:rFonts w:cstheme="minorHAnsi"/>
          <w:u w:val="single"/>
        </w:rPr>
      </w:pPr>
      <w:r w:rsidRPr="00BC2BA0">
        <w:rPr>
          <w:rFonts w:cstheme="minorHAnsi"/>
          <w:u w:val="single"/>
        </w:rPr>
        <w:t>Daňový výkaz - VI. oddielu daňového priznania k dani z príjmov fyzickej osoby – typ B</w:t>
      </w:r>
    </w:p>
    <w:p w14:paraId="44195187" w14:textId="77777777" w:rsidR="00830BE9" w:rsidRPr="000D1551" w:rsidRDefault="00830BE9" w:rsidP="00830BE9">
      <w:pPr>
        <w:spacing w:after="0" w:line="257" w:lineRule="auto"/>
        <w:rPr>
          <w:rFonts w:cstheme="minorHAnsi"/>
        </w:rPr>
      </w:pPr>
      <w:r w:rsidRPr="000D1551">
        <w:rPr>
          <w:rFonts w:cstheme="minorHAnsi"/>
        </w:rPr>
        <w:t>T1 -</w:t>
      </w:r>
      <w:r w:rsidRPr="000D1551">
        <w:rPr>
          <w:rFonts w:cstheme="minorHAnsi"/>
        </w:rPr>
        <w:tab/>
        <w:t>predstavuje tabuľku T1 daňového výkazu</w:t>
      </w:r>
    </w:p>
    <w:p w14:paraId="1A597167" w14:textId="77777777" w:rsidR="00830BE9" w:rsidRPr="000D1551" w:rsidRDefault="00830BE9" w:rsidP="00830BE9">
      <w:pPr>
        <w:spacing w:after="0" w:line="257" w:lineRule="auto"/>
        <w:rPr>
          <w:rFonts w:cstheme="minorHAnsi"/>
        </w:rPr>
      </w:pPr>
      <w:r w:rsidRPr="000D1551">
        <w:rPr>
          <w:rFonts w:cstheme="minorHAnsi"/>
        </w:rPr>
        <w:t>T1a -</w:t>
      </w:r>
      <w:r w:rsidRPr="000D1551">
        <w:rPr>
          <w:rFonts w:cstheme="minorHAnsi"/>
        </w:rPr>
        <w:tab/>
        <w:t>predstavuje tabuľka T1a daňového výkazu</w:t>
      </w:r>
    </w:p>
    <w:p w14:paraId="74602939" w14:textId="77777777" w:rsidR="00830BE9" w:rsidRPr="000D1551" w:rsidRDefault="00830BE9" w:rsidP="00830BE9">
      <w:pPr>
        <w:spacing w:after="0" w:line="257" w:lineRule="auto"/>
        <w:rPr>
          <w:rFonts w:cstheme="minorHAnsi"/>
        </w:rPr>
      </w:pPr>
      <w:proofErr w:type="spellStart"/>
      <w:r w:rsidRPr="000D1551">
        <w:rPr>
          <w:rFonts w:cstheme="minorHAnsi"/>
        </w:rPr>
        <w:t>St</w:t>
      </w:r>
      <w:proofErr w:type="spellEnd"/>
      <w:r w:rsidRPr="000D1551">
        <w:rPr>
          <w:rFonts w:cstheme="minorHAnsi"/>
        </w:rPr>
        <w:t>-</w:t>
      </w:r>
      <w:r w:rsidRPr="000D1551">
        <w:rPr>
          <w:rFonts w:cstheme="minorHAnsi"/>
        </w:rPr>
        <w:tab/>
        <w:t>predstavuje stĺpec v príslušnej tabuľke</w:t>
      </w:r>
    </w:p>
    <w:p w14:paraId="281A6160" w14:textId="77777777" w:rsidR="00830BE9" w:rsidRPr="000D1551" w:rsidRDefault="00830BE9" w:rsidP="00830BE9">
      <w:pPr>
        <w:spacing w:after="0" w:line="257" w:lineRule="auto"/>
        <w:rPr>
          <w:rFonts w:cstheme="minorHAnsi"/>
        </w:rPr>
      </w:pPr>
      <w:r w:rsidRPr="000D1551">
        <w:rPr>
          <w:rFonts w:cstheme="minorHAnsi"/>
        </w:rPr>
        <w:tab/>
        <w:t>Číslo za písmenom predstavuje poradie stĺpca v tabuľke</w:t>
      </w:r>
    </w:p>
    <w:p w14:paraId="1716687C" w14:textId="77777777" w:rsidR="00830BE9" w:rsidRPr="000D1551" w:rsidRDefault="00830BE9" w:rsidP="00830BE9">
      <w:pPr>
        <w:spacing w:after="0" w:line="257" w:lineRule="auto"/>
        <w:rPr>
          <w:rFonts w:cstheme="minorHAnsi"/>
        </w:rPr>
      </w:pPr>
      <w:r w:rsidRPr="000D1551">
        <w:rPr>
          <w:rFonts w:cstheme="minorHAnsi"/>
        </w:rPr>
        <w:t>R-</w:t>
      </w:r>
      <w:r w:rsidRPr="000D1551">
        <w:rPr>
          <w:rFonts w:cstheme="minorHAnsi"/>
        </w:rPr>
        <w:tab/>
        <w:t>predstavuje riadok v príslušnom stĺpci</w:t>
      </w:r>
    </w:p>
    <w:p w14:paraId="51B310E6" w14:textId="77777777" w:rsidR="00830BE9" w:rsidRPr="000D1551" w:rsidRDefault="00830BE9" w:rsidP="00830BE9">
      <w:pPr>
        <w:spacing w:after="0" w:line="257" w:lineRule="auto"/>
        <w:ind w:firstLine="708"/>
        <w:rPr>
          <w:rFonts w:cstheme="minorHAnsi"/>
        </w:rPr>
      </w:pPr>
      <w:r w:rsidRPr="000D1551">
        <w:rPr>
          <w:rFonts w:cstheme="minorHAnsi"/>
        </w:rPr>
        <w:t>Číslo za písmenom predstavuje poradie riadku obsahujúceho údaje na posúdenie</w:t>
      </w:r>
    </w:p>
    <w:p w14:paraId="2A349A72" w14:textId="77777777" w:rsidR="00830BE9" w:rsidRDefault="00830BE9" w:rsidP="00836751">
      <w:pPr>
        <w:pStyle w:val="Bezriadkovania"/>
        <w:spacing w:before="120"/>
      </w:pPr>
    </w:p>
    <w:p w14:paraId="4C86DD71" w14:textId="5028042A" w:rsidR="00840806" w:rsidRPr="00375341" w:rsidRDefault="00840806" w:rsidP="00836751">
      <w:pPr>
        <w:pStyle w:val="Bezriadkovania"/>
        <w:spacing w:before="120"/>
      </w:pPr>
      <w:r w:rsidRPr="00375341">
        <w:t>Doplňujúci údaj – predstavuje údaj z účtovnej evidencie, ktorý sa nenachádza vo výkazoch účtovnej závierky</w:t>
      </w:r>
    </w:p>
    <w:p w14:paraId="4CCE33B0" w14:textId="77777777" w:rsidR="004E2822" w:rsidRPr="00375341" w:rsidRDefault="004E2822" w:rsidP="00840806">
      <w:pPr>
        <w:pStyle w:val="Bezriadkovania"/>
      </w:pPr>
    </w:p>
    <w:p w14:paraId="6CEA1F60" w14:textId="358C2243" w:rsidR="00840806" w:rsidRPr="00375341" w:rsidRDefault="00840806" w:rsidP="00840806">
      <w:pPr>
        <w:pStyle w:val="Bezriadkovania"/>
      </w:pPr>
      <w:r w:rsidRPr="00375341">
        <w:t>Uvedené parametre sa dosadzujú do vzorcov a vyhodnocujú podľa interpretácie uvedenej v</w:t>
      </w:r>
      <w:r w:rsidR="004E2822" w:rsidRPr="00375341">
        <w:t xml:space="preserve"> kapitole </w:t>
      </w:r>
      <w:r w:rsidR="00836751" w:rsidRPr="00375341">
        <w:fldChar w:fldCharType="begin"/>
      </w:r>
      <w:r w:rsidR="00836751" w:rsidRPr="00375341">
        <w:instrText xml:space="preserve"> REF _Ref136951385 \r \h </w:instrText>
      </w:r>
      <w:r w:rsidR="00375341">
        <w:instrText xml:space="preserve"> \* MERGEFORMAT </w:instrText>
      </w:r>
      <w:r w:rsidR="00836751" w:rsidRPr="00375341">
        <w:fldChar w:fldCharType="separate"/>
      </w:r>
      <w:r w:rsidR="002F00B6">
        <w:t>3</w:t>
      </w:r>
      <w:r w:rsidR="00836751" w:rsidRPr="00375341">
        <w:fldChar w:fldCharType="end"/>
      </w:r>
      <w:r w:rsidRPr="00375341">
        <w:t>.</w:t>
      </w:r>
    </w:p>
    <w:p w14:paraId="44EE0DEA" w14:textId="77777777" w:rsidR="00836751" w:rsidRPr="00375341" w:rsidRDefault="00836751" w:rsidP="00840806">
      <w:pPr>
        <w:pStyle w:val="Bezriadkovania"/>
      </w:pPr>
    </w:p>
    <w:p w14:paraId="6CC29238" w14:textId="472A90C4" w:rsidR="00840806" w:rsidRPr="00375341" w:rsidRDefault="00840806" w:rsidP="00840806">
      <w:pPr>
        <w:pStyle w:val="Bezriadkovania"/>
      </w:pPr>
      <w:r w:rsidRPr="00375341">
        <w:t xml:space="preserve">Označenie zdroja údajov </w:t>
      </w:r>
      <w:r w:rsidR="0039108D">
        <w:t xml:space="preserve">v tabuľke 1 zodpovedá </w:t>
      </w:r>
      <w:r w:rsidRPr="00375341">
        <w:t xml:space="preserve">aktuálne platnému značeniu riadkov účtovných závierok, ktoré sa používajú pre účtovné obdobie začaté od 1. 1. 2015. Ak subjekt používa tlačivá účtovnej závierky podľa iného vzoru, použije tie riadky takéhoto iného vzoru alebo doplňujúcej evidencie, ktoré svojím obsahom zodpovedajú riadkom identifikovaným v tabuľke 1. </w:t>
      </w:r>
      <w:r w:rsidR="00830BE9" w:rsidRPr="006A0F49">
        <w:rPr>
          <w:rFonts w:cstheme="minorHAnsi"/>
        </w:rPr>
        <w:t>Označenia zdroja údajov z daňovej evidencie zodpovedajú aktuálne platnému značeniu daňového priznania k dani z príjmov fyzickej osoby – typ B pre rok 2023.</w:t>
      </w:r>
    </w:p>
    <w:p w14:paraId="53F500AF" w14:textId="40FD7080" w:rsidR="00836751" w:rsidRDefault="00836751" w:rsidP="00840806">
      <w:pPr>
        <w:pStyle w:val="Bezriadkovania"/>
      </w:pPr>
    </w:p>
    <w:p w14:paraId="25AD1C00" w14:textId="77777777" w:rsidR="00830BE9" w:rsidRDefault="00830BE9" w:rsidP="00830BE9">
      <w:pPr>
        <w:spacing w:after="0" w:line="257" w:lineRule="auto"/>
        <w:rPr>
          <w:rFonts w:cstheme="minorHAnsi"/>
        </w:rPr>
      </w:pPr>
      <w:r w:rsidRPr="006A0F49">
        <w:rPr>
          <w:rFonts w:cstheme="minorHAnsi"/>
        </w:rPr>
        <w:t>Označenie zdrojov údajov v tabuľke 1 predpokladá, že subjekt</w:t>
      </w:r>
      <w:r w:rsidRPr="000D1551">
        <w:rPr>
          <w:rFonts w:cstheme="minorHAnsi"/>
        </w:rPr>
        <w:t xml:space="preserve"> korektne vyplnil všetky relevantné riadky účtovnej závierky alebo daňového priznania. V prípade, že to tak nie je, môže poskytovateľ využiť aj iné riadky účtovnej závierky alebo daňového priznania, ak sa takýmto spôsobom dá identifikovať korektný vstupný údaj do výpočtu jednotlivých kritérií (ide najmä o prípady, kedy nie sú vyplnené identifikované súčtové riadky, ale sú vyplnené riadky, ktoré vstupujú do výpočtu príslušného súčtu). </w:t>
      </w:r>
    </w:p>
    <w:p w14:paraId="55D1B0C5" w14:textId="77777777" w:rsidR="00830BE9" w:rsidRPr="00375341" w:rsidRDefault="00830BE9" w:rsidP="00840806">
      <w:pPr>
        <w:pStyle w:val="Bezriadkovania"/>
      </w:pPr>
    </w:p>
    <w:p w14:paraId="7F70615B" w14:textId="132BF3B1" w:rsidR="00840806" w:rsidRDefault="00840806" w:rsidP="00840806">
      <w:pPr>
        <w:pStyle w:val="Bezriadkovania"/>
      </w:pPr>
      <w:r w:rsidRPr="00375341">
        <w:t>V prípade, ak niektoré účtovné závierky obsahujú delenie údajov podľa príslušnosti k zdaňovanej a nezdaňovanej činnosti, na účely posúdenia znakov podniku v ťažkostiach sa použije súčet hodnôt za zdaňovanú a nezdaňovanú činnosť.</w:t>
      </w:r>
    </w:p>
    <w:p w14:paraId="183082A7" w14:textId="0113D9E6" w:rsidR="00CD1DCD" w:rsidRDefault="00CD1DCD" w:rsidP="00840806">
      <w:pPr>
        <w:pStyle w:val="Bezriadkovania"/>
      </w:pPr>
    </w:p>
    <w:p w14:paraId="719B0F8A" w14:textId="75358578" w:rsidR="00CD1DCD" w:rsidRDefault="00CD1DCD" w:rsidP="00840806">
      <w:pPr>
        <w:pStyle w:val="Bezriadkovania"/>
      </w:pPr>
    </w:p>
    <w:p w14:paraId="214E4F32" w14:textId="09B03482" w:rsidR="00CD1DCD" w:rsidRDefault="00CD1DCD" w:rsidP="00840806">
      <w:pPr>
        <w:pStyle w:val="Bezriadkovania"/>
      </w:pPr>
    </w:p>
    <w:p w14:paraId="47DB218A" w14:textId="2346C7A6" w:rsidR="00CD1DCD" w:rsidRDefault="00CD1DCD" w:rsidP="00840806">
      <w:pPr>
        <w:pStyle w:val="Bezriadkovania"/>
      </w:pPr>
    </w:p>
    <w:p w14:paraId="6D65FFF9" w14:textId="6B44401A" w:rsidR="00CD1DCD" w:rsidRDefault="00CD1DCD" w:rsidP="00840806">
      <w:pPr>
        <w:pStyle w:val="Bezriadkovania"/>
      </w:pPr>
    </w:p>
    <w:p w14:paraId="345C0DD2" w14:textId="77777777" w:rsidR="00CD1DCD" w:rsidRPr="00375341" w:rsidRDefault="00CD1DCD" w:rsidP="00840806">
      <w:pPr>
        <w:pStyle w:val="Bezriadkovania"/>
      </w:pPr>
    </w:p>
    <w:p w14:paraId="1553D95F" w14:textId="77777777" w:rsidR="00840806" w:rsidRPr="00375341" w:rsidRDefault="00840806" w:rsidP="00840806">
      <w:pPr>
        <w:pStyle w:val="Bezriadkovania"/>
      </w:pPr>
    </w:p>
    <w:p w14:paraId="4CC6C7FC" w14:textId="11824CA4" w:rsidR="00840806" w:rsidRPr="00375341" w:rsidRDefault="00840806" w:rsidP="00836751">
      <w:pPr>
        <w:pStyle w:val="Nadpis1"/>
      </w:pPr>
      <w:bookmarkStart w:id="29" w:name="_Toc131174984"/>
      <w:r w:rsidRPr="00375341">
        <w:lastRenderedPageBreak/>
        <w:t>Výnimky z aplikácie podniku v</w:t>
      </w:r>
      <w:r w:rsidR="00836751" w:rsidRPr="00375341">
        <w:t> </w:t>
      </w:r>
      <w:r w:rsidRPr="00375341">
        <w:t>ťažkostiach</w:t>
      </w:r>
      <w:bookmarkEnd w:id="29"/>
    </w:p>
    <w:p w14:paraId="1D5302EE" w14:textId="77777777" w:rsidR="00836751" w:rsidRPr="00375341" w:rsidRDefault="00836751" w:rsidP="00840806">
      <w:pPr>
        <w:pStyle w:val="Bezriadkovania"/>
      </w:pPr>
    </w:p>
    <w:p w14:paraId="38631882" w14:textId="47008452" w:rsidR="00DE6A31" w:rsidRPr="00375341" w:rsidRDefault="00DE6A31" w:rsidP="00DE6A31">
      <w:r w:rsidRPr="00375341">
        <w:t>Pri posudzovaní naplnenia podmienok podniku v ťažkostiach sa berie do úvahy aj informácia o veľkosti podniku a doby existencie MSP</w:t>
      </w:r>
      <w:r w:rsidR="006541C9" w:rsidRPr="00983609">
        <w:rPr>
          <w:rStyle w:val="Odkaznapoznmkupodiarou"/>
        </w:rPr>
        <w:footnoteReference w:id="18"/>
      </w:r>
      <w:r w:rsidRPr="00375341">
        <w:t xml:space="preserve"> </w:t>
      </w:r>
      <w:r w:rsidR="006541C9" w:rsidRPr="000D1551">
        <w:rPr>
          <w:rFonts w:cstheme="minorHAnsi"/>
        </w:rPr>
        <w:t>k</w:t>
      </w:r>
      <w:r w:rsidR="006541C9">
        <w:rPr>
          <w:rFonts w:cstheme="minorHAnsi"/>
        </w:rPr>
        <w:t> rozhodnému momentu k</w:t>
      </w:r>
      <w:r w:rsidR="006541C9" w:rsidRPr="000D1551">
        <w:rPr>
          <w:rFonts w:cstheme="minorHAnsi"/>
        </w:rPr>
        <w:t xml:space="preserve">u dňu </w:t>
      </w:r>
      <w:r w:rsidR="006541C9">
        <w:rPr>
          <w:rFonts w:cstheme="minorHAnsi"/>
        </w:rPr>
        <w:t xml:space="preserve">poskytnutia pomoci podľa kapitoly </w:t>
      </w:r>
      <w:r w:rsidR="006541C9">
        <w:rPr>
          <w:rFonts w:cstheme="minorHAnsi"/>
        </w:rPr>
        <w:fldChar w:fldCharType="begin"/>
      </w:r>
      <w:r w:rsidR="006541C9">
        <w:rPr>
          <w:rFonts w:cstheme="minorHAnsi"/>
        </w:rPr>
        <w:instrText xml:space="preserve"> REF _Ref167082436 \r \h </w:instrText>
      </w:r>
      <w:r w:rsidR="006541C9">
        <w:rPr>
          <w:rFonts w:cstheme="minorHAnsi"/>
        </w:rPr>
      </w:r>
      <w:r w:rsidR="006541C9">
        <w:rPr>
          <w:rFonts w:cstheme="minorHAnsi"/>
        </w:rPr>
        <w:fldChar w:fldCharType="separate"/>
      </w:r>
      <w:r w:rsidR="006541C9">
        <w:rPr>
          <w:rFonts w:cstheme="minorHAnsi"/>
        </w:rPr>
        <w:t>3</w:t>
      </w:r>
      <w:r w:rsidR="006541C9">
        <w:rPr>
          <w:rFonts w:cstheme="minorHAnsi"/>
        </w:rPr>
        <w:fldChar w:fldCharType="end"/>
      </w:r>
      <w:r w:rsidR="006541C9">
        <w:rPr>
          <w:rFonts w:cstheme="minorHAnsi"/>
        </w:rPr>
        <w:t xml:space="preserve"> tejto metodiky (resp. k rozhodnému momentu </w:t>
      </w:r>
      <w:r w:rsidR="006541C9" w:rsidRPr="001E2B50">
        <w:rPr>
          <w:rFonts w:cstheme="minorHAnsi"/>
          <w:u w:val="single"/>
        </w:rPr>
        <w:t>na účely čestného vyhlásenia</w:t>
      </w:r>
      <w:r w:rsidR="006541C9">
        <w:rPr>
          <w:rFonts w:cstheme="minorHAnsi"/>
        </w:rPr>
        <w:t>, keď sa vykonáva prvá fáza overovania).</w:t>
      </w:r>
      <w:r w:rsidRPr="00375341">
        <w:t>.</w:t>
      </w:r>
    </w:p>
    <w:p w14:paraId="0D8DDA54" w14:textId="77777777" w:rsidR="00760A7F" w:rsidRPr="00375341" w:rsidRDefault="00760A7F" w:rsidP="00760A7F">
      <w:pPr>
        <w:rPr>
          <w:b/>
        </w:rPr>
      </w:pPr>
      <w:r w:rsidRPr="00375341">
        <w:rPr>
          <w:b/>
        </w:rPr>
        <w:t>Veľkostná kategória podniku</w:t>
      </w:r>
    </w:p>
    <w:p w14:paraId="44FD3E8C" w14:textId="4D4E3666" w:rsidR="00760A7F" w:rsidRPr="00375341" w:rsidRDefault="006541C9" w:rsidP="00836751">
      <w:pPr>
        <w:pStyle w:val="Bezriadkovania"/>
      </w:pPr>
      <w:r>
        <w:t>Ak</w:t>
      </w:r>
      <w:r w:rsidR="00760A7F" w:rsidRPr="00375341">
        <w:t xml:space="preserve"> sa </w:t>
      </w:r>
      <w:r w:rsidR="00430254" w:rsidRPr="00375341">
        <w:t>subjekt</w:t>
      </w:r>
      <w:r w:rsidR="00760A7F" w:rsidRPr="00375341">
        <w:t xml:space="preserve"> klasifikoval ako MSP</w:t>
      </w:r>
      <w:r w:rsidRPr="00983609">
        <w:rPr>
          <w:rStyle w:val="Odkaznapoznmkupodiarou"/>
        </w:rPr>
        <w:footnoteReference w:id="19"/>
      </w:r>
      <w:r w:rsidR="00760A7F" w:rsidRPr="00375341">
        <w:t xml:space="preserve">, neaplikuje </w:t>
      </w:r>
      <w:r>
        <w:t xml:space="preserve">sa na tento prípad </w:t>
      </w:r>
      <w:r w:rsidR="00760A7F" w:rsidRPr="00375341">
        <w:t>kritérium E.</w:t>
      </w:r>
      <w:r w:rsidR="001C1F6D" w:rsidRPr="00375341">
        <w:t xml:space="preserve"> </w:t>
      </w:r>
    </w:p>
    <w:p w14:paraId="388ACACC" w14:textId="77777777" w:rsidR="001C1F6D" w:rsidRPr="00375341" w:rsidRDefault="001C1F6D" w:rsidP="00836751">
      <w:pPr>
        <w:pStyle w:val="Bezriadkovania"/>
      </w:pPr>
    </w:p>
    <w:p w14:paraId="7175E628" w14:textId="79ED1733" w:rsidR="00760A7F" w:rsidRPr="00375341" w:rsidRDefault="00760A7F" w:rsidP="00836751">
      <w:pPr>
        <w:pStyle w:val="Bezriadkovania"/>
        <w:rPr>
          <w:b/>
        </w:rPr>
      </w:pPr>
      <w:r w:rsidRPr="00375341">
        <w:rPr>
          <w:b/>
        </w:rPr>
        <w:t>Doba existencie MSP</w:t>
      </w:r>
    </w:p>
    <w:p w14:paraId="179FE881" w14:textId="77777777" w:rsidR="00760A7F" w:rsidRPr="00375341" w:rsidRDefault="00760A7F" w:rsidP="00836751">
      <w:pPr>
        <w:pStyle w:val="Bezriadkovania"/>
      </w:pPr>
    </w:p>
    <w:p w14:paraId="3575336C" w14:textId="342BF0E4" w:rsidR="00836751" w:rsidRPr="00375341" w:rsidRDefault="006541C9" w:rsidP="00836751">
      <w:pPr>
        <w:pStyle w:val="Bezriadkovania"/>
      </w:pPr>
      <w:r w:rsidRPr="000D1551">
        <w:rPr>
          <w:rFonts w:cstheme="minorHAnsi"/>
        </w:rPr>
        <w:t xml:space="preserve">V prípade, že je subjekt MSP, ktorý existuje  k rozhodnému momentu kratšie ako 3 roky, tento subjekt </w:t>
      </w:r>
      <w:r w:rsidRPr="00584B79">
        <w:rPr>
          <w:rFonts w:cstheme="minorHAnsi"/>
        </w:rPr>
        <w:t>sa</w:t>
      </w:r>
      <w:r w:rsidRPr="00233E67">
        <w:rPr>
          <w:rFonts w:cstheme="minorHAnsi"/>
        </w:rPr>
        <w:t xml:space="preserve"> </w:t>
      </w:r>
      <w:r w:rsidRPr="008B75E5">
        <w:rPr>
          <w:rFonts w:cstheme="minorHAnsi"/>
        </w:rPr>
        <w:t xml:space="preserve">neposudzuje podľa kritérií A, B a E. Doba existencie MSP sa pritom posudzuje na úrovni celého podniku, t. j. nie je rozhodujúca doba existencie dotknutého subjektu ako právneho subjektu, ale doba existencie podniku, ktorého súčasťou je dotknutý subjekt, pričom táto sa určí ako doba existencie najdlhšie existujúceho právneho subjektu, ktorý je súčasťou skúmaného podniku. </w:t>
      </w:r>
      <w:r w:rsidR="00836751" w:rsidRPr="00375341">
        <w:t xml:space="preserve">V prípade, že podnik </w:t>
      </w:r>
      <w:r>
        <w:t>k rozhodnému momentu existuje aspoň</w:t>
      </w:r>
      <w:r w:rsidR="00836751" w:rsidRPr="00375341">
        <w:t xml:space="preserve"> 3 roky, ale právny subjekt, ktorý je</w:t>
      </w:r>
      <w:r w:rsidR="00AC4611" w:rsidRPr="00375341">
        <w:t xml:space="preserve"> predmetom overovania</w:t>
      </w:r>
      <w:r w:rsidR="00836751" w:rsidRPr="00375341">
        <w:t xml:space="preserve">, </w:t>
      </w:r>
      <w:r>
        <w:t>existuje k rozhodnému momentu menej</w:t>
      </w:r>
      <w:r w:rsidR="00836751" w:rsidRPr="00375341">
        <w:t xml:space="preserve"> ako 3 roky a ešte </w:t>
      </w:r>
      <w:r>
        <w:t>neschvaľoval</w:t>
      </w:r>
      <w:r w:rsidRPr="00375341">
        <w:t xml:space="preserve"> </w:t>
      </w:r>
      <w:r w:rsidR="00836751" w:rsidRPr="00375341">
        <w:t>účtovnú závierku a neukladal</w:t>
      </w:r>
      <w:r>
        <w:t xml:space="preserve"> ju</w:t>
      </w:r>
      <w:r w:rsidR="00836751" w:rsidRPr="00375341">
        <w:t xml:space="preserve"> v registri účtovných závierok, </w:t>
      </w:r>
      <w:r>
        <w:t xml:space="preserve">resp. ak nie je účtovnou jednotkou, ešte nepodával daňové priznanie </w:t>
      </w:r>
      <w:r w:rsidR="00836751" w:rsidRPr="00375341">
        <w:t>neposudzuje sa tento subjekt podľa kritérií A, B a E (to neplatí pre podnik na</w:t>
      </w:r>
      <w:r w:rsidR="001C1F6D" w:rsidRPr="00375341">
        <w:t xml:space="preserve"> úrovni hospodárskej jednotky).</w:t>
      </w:r>
    </w:p>
    <w:p w14:paraId="17E0B09A" w14:textId="77777777" w:rsidR="00836751" w:rsidRPr="00375341" w:rsidRDefault="00836751" w:rsidP="00840806">
      <w:pPr>
        <w:pStyle w:val="Bezriadkovania"/>
      </w:pPr>
    </w:p>
    <w:p w14:paraId="24253420" w14:textId="3AEBA6E0" w:rsidR="00760A7F" w:rsidRPr="00375341" w:rsidRDefault="00760A7F" w:rsidP="00840806">
      <w:pPr>
        <w:pStyle w:val="Bezriadkovania"/>
        <w:rPr>
          <w:b/>
        </w:rPr>
      </w:pPr>
      <w:r w:rsidRPr="00375341">
        <w:rPr>
          <w:b/>
        </w:rPr>
        <w:t>Paušálne výdavky</w:t>
      </w:r>
      <w:r w:rsidR="006541C9">
        <w:rPr>
          <w:b/>
        </w:rPr>
        <w:t xml:space="preserve"> (v zmysle daňových predpisov)</w:t>
      </w:r>
    </w:p>
    <w:p w14:paraId="667E7811" w14:textId="77777777" w:rsidR="00760A7F" w:rsidRPr="00375341" w:rsidRDefault="00760A7F" w:rsidP="00840806">
      <w:pPr>
        <w:pStyle w:val="Bezriadkovania"/>
        <w:rPr>
          <w:b/>
        </w:rPr>
      </w:pPr>
    </w:p>
    <w:p w14:paraId="214E2485" w14:textId="71977D90" w:rsidR="00840806" w:rsidRDefault="00840806" w:rsidP="00840806">
      <w:pPr>
        <w:pStyle w:val="Bezriadkovania"/>
      </w:pPr>
      <w:r w:rsidRPr="00375341">
        <w:t>V prípade podnikov, ktoré uplatňujú paušálne výdavky je nerelevantné posudzovanie kritérií A, B a E, keďže z vecnej podstaty týchto kritérií vyplýva, že sa na takýto typ podniku nevzťahujú alebo nemôže dôjsť k situácii, kedy by takýto podnik bol považovaný za podnik v ťažkostiach podľa týchto kritérií. Kľúčovým predpokladom pritom je, že takýto podnik nevedie evidenciu nákladov, ale jeho náklady sa určujú percentom z príjmov, t.</w:t>
      </w:r>
      <w:r w:rsidR="00591F35" w:rsidRPr="00375341">
        <w:t xml:space="preserve"> </w:t>
      </w:r>
      <w:r w:rsidRPr="00375341">
        <w:t>j. takýto podnik nemôže dosiahnuť stratu. Takýto podnik tiež nevytvára základné imanie a nie je tiež možné určiť hodnotu „pasív“ takéhoto podniku, ktorá by sa dala klasifikovať ako základné imanie.</w:t>
      </w:r>
    </w:p>
    <w:p w14:paraId="5BB8F5A5" w14:textId="1F0710AD" w:rsidR="006541C9" w:rsidRDefault="006541C9" w:rsidP="00840806">
      <w:pPr>
        <w:pStyle w:val="Bezriadkovania"/>
      </w:pPr>
    </w:p>
    <w:p w14:paraId="5A2C3547" w14:textId="77777777" w:rsidR="006541C9" w:rsidRPr="009E6338" w:rsidRDefault="006541C9" w:rsidP="006541C9">
      <w:pPr>
        <w:spacing w:after="0" w:line="257" w:lineRule="auto"/>
        <w:rPr>
          <w:rFonts w:cstheme="minorHAnsi"/>
          <w:b/>
          <w:bCs/>
        </w:rPr>
      </w:pPr>
      <w:r w:rsidRPr="009E6338">
        <w:rPr>
          <w:rFonts w:cstheme="minorHAnsi"/>
          <w:b/>
          <w:bCs/>
        </w:rPr>
        <w:t>Ďalšie výnimky z aplikácie</w:t>
      </w:r>
    </w:p>
    <w:p w14:paraId="6D04BB68" w14:textId="77777777" w:rsidR="006541C9" w:rsidRDefault="006541C9" w:rsidP="006541C9">
      <w:pPr>
        <w:spacing w:after="0" w:line="257" w:lineRule="auto"/>
        <w:rPr>
          <w:rFonts w:cstheme="minorHAnsi"/>
        </w:rPr>
      </w:pPr>
    </w:p>
    <w:p w14:paraId="69968415" w14:textId="77777777" w:rsidR="006541C9" w:rsidRPr="000D1551" w:rsidRDefault="006541C9" w:rsidP="006541C9">
      <w:pPr>
        <w:spacing w:after="0" w:line="257" w:lineRule="auto"/>
        <w:rPr>
          <w:rFonts w:cstheme="minorHAnsi"/>
        </w:rPr>
      </w:pPr>
      <w:r w:rsidRPr="000D1551">
        <w:rPr>
          <w:rFonts w:cstheme="minorHAnsi"/>
        </w:rPr>
        <w:t xml:space="preserve">Pre právne formy obec, mesto a VÚC je postačujúce zhodnotenie, či je/nie je takýto podnik v nútenej správe, keďže podmienky zavedenia nútenej správy sú prísnejšie než je spôsob výpočtu ukazovateľov podniku v ťažkostiach podľa údajov účtovnej závierky. </w:t>
      </w:r>
    </w:p>
    <w:p w14:paraId="4E560AD8" w14:textId="77777777" w:rsidR="006541C9" w:rsidRPr="000D1551" w:rsidRDefault="006541C9" w:rsidP="006541C9">
      <w:pPr>
        <w:spacing w:after="0" w:line="257" w:lineRule="auto"/>
        <w:rPr>
          <w:rFonts w:cstheme="minorHAnsi"/>
        </w:rPr>
      </w:pPr>
    </w:p>
    <w:p w14:paraId="55EAEBEA" w14:textId="77777777" w:rsidR="006541C9" w:rsidRPr="000D1551" w:rsidRDefault="006541C9" w:rsidP="006541C9">
      <w:pPr>
        <w:spacing w:after="0" w:line="257" w:lineRule="auto"/>
        <w:rPr>
          <w:rFonts w:cstheme="minorHAnsi"/>
        </w:rPr>
      </w:pPr>
      <w:r w:rsidRPr="000D1551">
        <w:rPr>
          <w:rFonts w:cstheme="minorHAnsi"/>
        </w:rPr>
        <w:t>Pre právne formy obec, mesto, VÚC, príspevková organizácia, rozpočtová organizácia platí, že takéto subjekty v podmienkach SR nie sú spôsobilé na to, aby im bola poskytnutá pomoc na záchranu alebo reštrukturalizáciu. Preto je aj vyhodnotenie takejto podmienky v uvedených prípadoch právnej formy irelevantné.</w:t>
      </w:r>
    </w:p>
    <w:p w14:paraId="30695BFB" w14:textId="77777777" w:rsidR="006541C9" w:rsidRPr="000D1551" w:rsidRDefault="006541C9" w:rsidP="006541C9">
      <w:pPr>
        <w:spacing w:after="0" w:line="257" w:lineRule="auto"/>
        <w:rPr>
          <w:rFonts w:cstheme="minorHAnsi"/>
        </w:rPr>
      </w:pPr>
    </w:p>
    <w:p w14:paraId="54FA7C35" w14:textId="77777777" w:rsidR="006541C9" w:rsidRPr="00A06C64" w:rsidRDefault="006541C9" w:rsidP="006541C9">
      <w:pPr>
        <w:spacing w:after="0" w:line="257" w:lineRule="auto"/>
      </w:pPr>
      <w:r w:rsidRPr="000D1551">
        <w:rPr>
          <w:rFonts w:cstheme="minorHAnsi"/>
        </w:rPr>
        <w:lastRenderedPageBreak/>
        <w:t>Pre právne formy obec, mesto, VÚC, príspevková organizácia, rozpočtová organizácia sa takisto neposudzuje podmienka podniku v ťažkostiach na skupine podnikov, keďže sa v praxi neočakáva, že táto právna forma bude pôsobiť na voľnom trhu v kooperácii s ostatnými materskými, alebo dcérskymi spoločnosťami, ktoré majú spoločný zdroj kontroly a ktoré konajú na trhu vzájomne organizovane.</w:t>
      </w:r>
    </w:p>
    <w:p w14:paraId="4DDBD2B7" w14:textId="77777777" w:rsidR="00840806" w:rsidRPr="00375341" w:rsidRDefault="00840806" w:rsidP="00840806">
      <w:pPr>
        <w:pStyle w:val="Bezriadkovania"/>
      </w:pPr>
    </w:p>
    <w:p w14:paraId="052F8C81" w14:textId="77777777" w:rsidR="00840806" w:rsidRPr="00375341" w:rsidRDefault="00840806" w:rsidP="00836751">
      <w:pPr>
        <w:pStyle w:val="Nadpis1"/>
      </w:pPr>
      <w:bookmarkStart w:id="30" w:name="_Toc131174985"/>
      <w:bookmarkStart w:id="31" w:name="_Ref146523257"/>
      <w:r w:rsidRPr="00375341">
        <w:t>Hodnotenie hospodárskej jednotky</w:t>
      </w:r>
      <w:bookmarkEnd w:id="30"/>
      <w:bookmarkEnd w:id="31"/>
    </w:p>
    <w:p w14:paraId="601C3B3E" w14:textId="77777777" w:rsidR="00836751" w:rsidRPr="00375341" w:rsidRDefault="00836751" w:rsidP="00840806">
      <w:pPr>
        <w:pStyle w:val="Bezriadkovania"/>
      </w:pPr>
    </w:p>
    <w:p w14:paraId="0C2DD20F" w14:textId="35992715" w:rsidR="00840806" w:rsidRDefault="00840806" w:rsidP="00840806">
      <w:pPr>
        <w:pStyle w:val="Bezriadkovania"/>
      </w:pPr>
      <w:r w:rsidRPr="00375341">
        <w:t>Ak je subjekt súčasťou hospodárskej jednotky, aplikuje sa hodnotenie znakov podniku v ťažkostiach aj na túto hospodársku jednotku podľa pravidiel uvedených v predchádzajúcich kapitolách.</w:t>
      </w:r>
    </w:p>
    <w:p w14:paraId="4F7D1CAE" w14:textId="3C0A3293" w:rsidR="00FF77B4" w:rsidRDefault="00FF77B4" w:rsidP="00840806">
      <w:pPr>
        <w:pStyle w:val="Bezriadkovania"/>
      </w:pPr>
    </w:p>
    <w:p w14:paraId="670C6836" w14:textId="4F92B791" w:rsidR="00FF77B4" w:rsidRPr="000D1551" w:rsidRDefault="00FF77B4" w:rsidP="009E0C4D">
      <w:pPr>
        <w:pStyle w:val="Nadpis2"/>
      </w:pPr>
      <w:bookmarkStart w:id="32" w:name="_Toc163741688"/>
      <w:r w:rsidRPr="000D1551">
        <w:t>Hospodárska jednotka</w:t>
      </w:r>
      <w:bookmarkEnd w:id="32"/>
    </w:p>
    <w:p w14:paraId="6206CC6A" w14:textId="77777777" w:rsidR="00FF77B4" w:rsidRPr="000D1551" w:rsidRDefault="00FF77B4" w:rsidP="00FF77B4">
      <w:pPr>
        <w:spacing w:after="0" w:line="257" w:lineRule="auto"/>
        <w:rPr>
          <w:rFonts w:cstheme="minorHAnsi"/>
        </w:rPr>
      </w:pPr>
    </w:p>
    <w:p w14:paraId="39DCD9EC" w14:textId="77777777" w:rsidR="00FF77B4" w:rsidRPr="009E6338" w:rsidRDefault="00FF77B4" w:rsidP="00FF77B4">
      <w:pPr>
        <w:spacing w:after="0" w:line="257" w:lineRule="auto"/>
        <w:rPr>
          <w:rFonts w:cstheme="minorHAnsi"/>
        </w:rPr>
      </w:pPr>
      <w:r w:rsidRPr="009E6338">
        <w:rPr>
          <w:rFonts w:cstheme="minorHAnsi"/>
        </w:rPr>
        <w:t>Hospodárskou jednotkou sú viaceré oddelené právne subjekty, ktoré majú kontrolné podiely a iné funkčné, hospodárske a organizačné prepojenia medzi sebou navzájom, čím vytvárajú jednu hospodársku jednotku, ktorá koná spoločne organizovane na trhu. Hospodárska jednotka má spoločný zdroj kontroly</w:t>
      </w:r>
      <w:r w:rsidRPr="00983609">
        <w:rPr>
          <w:rStyle w:val="Odkaznapoznmkupodiarou"/>
        </w:rPr>
        <w:footnoteReference w:id="20"/>
      </w:r>
      <w:r w:rsidRPr="009E6338">
        <w:rPr>
          <w:rFonts w:cstheme="minorHAnsi"/>
        </w:rPr>
        <w:t>.</w:t>
      </w:r>
    </w:p>
    <w:p w14:paraId="68A0FD49" w14:textId="77777777" w:rsidR="00FF77B4" w:rsidRPr="009E6338" w:rsidRDefault="00FF77B4" w:rsidP="00FF77B4">
      <w:pPr>
        <w:spacing w:after="0" w:line="257" w:lineRule="auto"/>
        <w:rPr>
          <w:rFonts w:cstheme="minorHAnsi"/>
        </w:rPr>
      </w:pPr>
      <w:r w:rsidRPr="009E6338">
        <w:rPr>
          <w:rFonts w:cstheme="minorHAnsi"/>
        </w:rPr>
        <w:t xml:space="preserve"> </w:t>
      </w:r>
    </w:p>
    <w:p w14:paraId="0321CF76" w14:textId="77777777" w:rsidR="00FF77B4" w:rsidRPr="009E6338" w:rsidRDefault="00FF77B4" w:rsidP="00FF77B4">
      <w:pPr>
        <w:spacing w:after="0" w:line="257" w:lineRule="auto"/>
        <w:rPr>
          <w:rFonts w:cstheme="minorHAnsi"/>
        </w:rPr>
      </w:pPr>
      <w:r w:rsidRPr="009E6338">
        <w:rPr>
          <w:rFonts w:cstheme="minorHAnsi"/>
        </w:rPr>
        <w:t>Ide o skupinu podnikov (členov skupiny) medzi ktorými existujú majetkové, finančné, právne, alebo iné vzťahy (väzby), ktoré umožňujú jednému zdroju dominantným spôsobom ovplyvňovať všetky podniky v takejto skupine.</w:t>
      </w:r>
    </w:p>
    <w:p w14:paraId="43209199" w14:textId="77777777" w:rsidR="00FF77B4" w:rsidRPr="009E6338" w:rsidRDefault="00FF77B4" w:rsidP="00FF77B4">
      <w:pPr>
        <w:spacing w:after="0" w:line="257" w:lineRule="auto"/>
        <w:rPr>
          <w:rFonts w:cstheme="minorHAnsi"/>
        </w:rPr>
      </w:pPr>
    </w:p>
    <w:p w14:paraId="537E691C" w14:textId="77777777" w:rsidR="00FF77B4" w:rsidRPr="009E6338" w:rsidRDefault="00FF77B4" w:rsidP="00FF77B4">
      <w:pPr>
        <w:spacing w:after="0" w:line="257" w:lineRule="auto"/>
        <w:rPr>
          <w:rFonts w:cstheme="minorHAnsi"/>
        </w:rPr>
      </w:pPr>
      <w:r w:rsidRPr="009E6338">
        <w:rPr>
          <w:rFonts w:cstheme="minorHAnsi"/>
        </w:rPr>
        <w:t>Hospodárska jednotka sa zostavuje prostredníctvom vzťahov medzi právnickými osobami</w:t>
      </w:r>
      <w:r>
        <w:rPr>
          <w:rFonts w:cstheme="minorHAnsi"/>
        </w:rPr>
        <w:t>,</w:t>
      </w:r>
      <w:r w:rsidRPr="009E6338">
        <w:rPr>
          <w:rFonts w:cstheme="minorHAnsi"/>
        </w:rPr>
        <w:t xml:space="preserve"> ale aj prostredníctvom vzťahov fyzickej osoby, alebo skupiny fyzických osôb konajúcich spoločne (prepojenie podnikov cez fyzické osoby). </w:t>
      </w:r>
    </w:p>
    <w:p w14:paraId="33932F70" w14:textId="77777777" w:rsidR="00FF77B4" w:rsidRPr="009E6338" w:rsidRDefault="00FF77B4" w:rsidP="00FF77B4">
      <w:pPr>
        <w:spacing w:after="0" w:line="257" w:lineRule="auto"/>
        <w:rPr>
          <w:rFonts w:cstheme="minorHAnsi"/>
        </w:rPr>
      </w:pPr>
    </w:p>
    <w:p w14:paraId="308FB47B" w14:textId="77777777" w:rsidR="00FF77B4" w:rsidRPr="009E6338" w:rsidRDefault="00FF77B4" w:rsidP="00FF77B4">
      <w:pPr>
        <w:spacing w:after="0" w:line="257" w:lineRule="auto"/>
        <w:rPr>
          <w:rFonts w:cstheme="minorHAnsi"/>
        </w:rPr>
      </w:pPr>
      <w:r w:rsidRPr="009E6338">
        <w:rPr>
          <w:rFonts w:cstheme="minorHAnsi"/>
        </w:rPr>
        <w:t>Pri určovaní hospodárskej jednotky nie je relevantné miesto výkonu činností, resp. sídlo jednotlivých podnikov tvoriacich hospodársku jednotku, t.</w:t>
      </w:r>
      <w:r>
        <w:rPr>
          <w:rFonts w:cstheme="minorHAnsi"/>
        </w:rPr>
        <w:t xml:space="preserve"> </w:t>
      </w:r>
      <w:r w:rsidRPr="009E6338">
        <w:rPr>
          <w:rFonts w:cstheme="minorHAnsi"/>
        </w:rPr>
        <w:t>j. do skupiny sa zaraďujú aj podniky mimo územia SR.</w:t>
      </w:r>
    </w:p>
    <w:p w14:paraId="140B8F87" w14:textId="77777777" w:rsidR="00FF77B4" w:rsidRPr="009E6338" w:rsidRDefault="00FF77B4" w:rsidP="00FF77B4">
      <w:pPr>
        <w:spacing w:after="0" w:line="257" w:lineRule="auto"/>
        <w:rPr>
          <w:rFonts w:cstheme="minorHAnsi"/>
        </w:rPr>
      </w:pPr>
    </w:p>
    <w:p w14:paraId="1A8DF467" w14:textId="77777777" w:rsidR="00FF77B4" w:rsidRPr="009E6338" w:rsidRDefault="00FF77B4" w:rsidP="00FF77B4">
      <w:pPr>
        <w:spacing w:after="0" w:line="257" w:lineRule="auto"/>
        <w:rPr>
          <w:rFonts w:cstheme="minorHAnsi"/>
        </w:rPr>
      </w:pPr>
      <w:r w:rsidRPr="009E6338">
        <w:rPr>
          <w:rFonts w:cstheme="minorHAnsi"/>
        </w:rPr>
        <w:t xml:space="preserve">Keďže pre určenie skupiny podnikov je podstatný „spoločný zdroj kontroly“, nemali by sa sem zahŕňať také podniky, ktoré síce majú vzťah ku skupine (alebo naopak skupina má vzťah k podniku), avšak miera týchto vzťahov (napr. podiel na majetku alebo iné práva) neumožňuje skupine ovládať takýto podnik, alebo naopak. V bežnej praxi ide predovšetkým o vzťah dcérskej a materskej spoločnosti. </w:t>
      </w:r>
    </w:p>
    <w:p w14:paraId="52E5DC66" w14:textId="77777777" w:rsidR="00FF77B4" w:rsidRPr="009E6338" w:rsidRDefault="00FF77B4" w:rsidP="00FF77B4">
      <w:pPr>
        <w:spacing w:after="0" w:line="257" w:lineRule="auto"/>
        <w:rPr>
          <w:rFonts w:cstheme="minorHAnsi"/>
        </w:rPr>
      </w:pPr>
    </w:p>
    <w:p w14:paraId="57450BBF" w14:textId="77777777" w:rsidR="00FF77B4" w:rsidRDefault="00FF77B4" w:rsidP="00FF77B4">
      <w:pPr>
        <w:spacing w:after="0" w:line="257" w:lineRule="auto"/>
        <w:rPr>
          <w:rFonts w:cstheme="minorHAnsi"/>
        </w:rPr>
      </w:pPr>
      <w:r w:rsidRPr="009E6338">
        <w:rPr>
          <w:rFonts w:cstheme="minorHAnsi"/>
        </w:rPr>
        <w:t xml:space="preserve">Vo všeobecnosti je pri vzniku pochybností, či konkrétny vzťah medzi jednotlivými členmi skupiny, vrátane zohľadnenia pôsobenia fyzických osôb, zakladá hospodársku jednotku alebo nie, rozhodujúca rozhodovacia prax Súdneho dvora EÚ a v jej súvislosti aj rozhodovacia prax </w:t>
      </w:r>
      <w:r w:rsidRPr="009A65FE">
        <w:rPr>
          <w:rFonts w:cstheme="minorHAnsi"/>
        </w:rPr>
        <w:t>Európskej k</w:t>
      </w:r>
      <w:r w:rsidRPr="00233E67">
        <w:rPr>
          <w:rFonts w:cstheme="minorHAnsi"/>
        </w:rPr>
        <w:t>omisi</w:t>
      </w:r>
      <w:r w:rsidRPr="008B75E5">
        <w:rPr>
          <w:rFonts w:cstheme="minorHAnsi"/>
        </w:rPr>
        <w:t>e</w:t>
      </w:r>
      <w:r w:rsidRPr="009E6338">
        <w:rPr>
          <w:rFonts w:cstheme="minorHAnsi"/>
        </w:rPr>
        <w:t xml:space="preserve">. </w:t>
      </w:r>
    </w:p>
    <w:p w14:paraId="6E43173A" w14:textId="77777777" w:rsidR="00FF77B4" w:rsidRPr="00375341" w:rsidRDefault="00FF77B4" w:rsidP="00840806">
      <w:pPr>
        <w:pStyle w:val="Bezriadkovania"/>
      </w:pPr>
    </w:p>
    <w:p w14:paraId="39817D63" w14:textId="6FDBED53" w:rsidR="00DB045C" w:rsidRPr="00375341" w:rsidRDefault="00FF77B4" w:rsidP="009E0C4D">
      <w:pPr>
        <w:pStyle w:val="Nadpis2"/>
      </w:pPr>
      <w:bookmarkStart w:id="33" w:name="_Ref167084324"/>
      <w:r w:rsidRPr="009E6338">
        <w:t>HODNOTENIE HOSPODÁRSKEJ JEDNOTKY</w:t>
      </w:r>
      <w:bookmarkEnd w:id="33"/>
    </w:p>
    <w:p w14:paraId="119E6459" w14:textId="77777777" w:rsidR="00FF77B4" w:rsidRDefault="00FF77B4" w:rsidP="00840806">
      <w:pPr>
        <w:pStyle w:val="Bezriadkovania"/>
        <w:rPr>
          <w:b/>
        </w:rPr>
      </w:pPr>
    </w:p>
    <w:p w14:paraId="54E04ED5" w14:textId="50A97FF3" w:rsidR="00840806" w:rsidRPr="00375341" w:rsidRDefault="00840806" w:rsidP="00840806">
      <w:pPr>
        <w:pStyle w:val="Bezriadkovania"/>
        <w:rPr>
          <w:b/>
        </w:rPr>
      </w:pPr>
      <w:r w:rsidRPr="00375341">
        <w:rPr>
          <w:b/>
        </w:rPr>
        <w:t>Konsolidované údaje</w:t>
      </w:r>
    </w:p>
    <w:p w14:paraId="1ECCA670" w14:textId="77777777" w:rsidR="00DB045C" w:rsidRPr="00375341" w:rsidRDefault="00DB045C" w:rsidP="00840806">
      <w:pPr>
        <w:pStyle w:val="Bezriadkovania"/>
        <w:rPr>
          <w:b/>
        </w:rPr>
      </w:pPr>
    </w:p>
    <w:p w14:paraId="3C3D22DC" w14:textId="3458619D" w:rsidR="00840806" w:rsidRPr="00375341" w:rsidRDefault="00840806" w:rsidP="00840806">
      <w:pPr>
        <w:pStyle w:val="Bezriadkovania"/>
      </w:pPr>
      <w:r w:rsidRPr="00375341">
        <w:t xml:space="preserve">Pri hodnotení znakov podniku v ťažkostiach na hospodárskej jednotke sa vychádza zo spoločných finančných (ekonomických) údajov hospodárskej jednotky ako celku, t.j. hodnotenie znakov sa vykonáva na základe konsolidovaných účtovných údajov. </w:t>
      </w:r>
    </w:p>
    <w:p w14:paraId="3DA598DB" w14:textId="77777777" w:rsidR="00836751" w:rsidRPr="00375341" w:rsidRDefault="00836751" w:rsidP="00840806">
      <w:pPr>
        <w:pStyle w:val="Bezriadkovania"/>
      </w:pPr>
    </w:p>
    <w:p w14:paraId="106F37D4" w14:textId="6D769CFA" w:rsidR="00840806" w:rsidRPr="00375341" w:rsidRDefault="00840806" w:rsidP="00840806">
      <w:pPr>
        <w:pStyle w:val="Bezriadkovania"/>
      </w:pPr>
      <w:r w:rsidRPr="00375341">
        <w:lastRenderedPageBreak/>
        <w:t>Konsolidované údaje pritom nemusia v tomto kontexte predstavovať len údaje, ktoré sa konsolidujú za  hospodársku jednotku podľa pravidiel smerníc/zákona o účtovníctve, ale aj konsolidáciu údajov za hospodársku jednotku „širšiu“, čo môže v praxi predstavovať skupinu právnych subjektov presahujúcu právne subjekty, ktoré sa v zmysle účtovných pravidiel konsolidujú v skupine.</w:t>
      </w:r>
    </w:p>
    <w:p w14:paraId="7A71081F" w14:textId="77777777" w:rsidR="00DB045C" w:rsidRPr="00375341" w:rsidRDefault="00DB045C" w:rsidP="00840806">
      <w:pPr>
        <w:pStyle w:val="Bezriadkovania"/>
      </w:pPr>
    </w:p>
    <w:p w14:paraId="15BD74B1" w14:textId="09538DA0" w:rsidR="00840806" w:rsidRPr="00375341" w:rsidRDefault="00840806" w:rsidP="00840806">
      <w:pPr>
        <w:pStyle w:val="Bezriadkovania"/>
      </w:pPr>
      <w:r w:rsidRPr="00375341">
        <w:t xml:space="preserve">Pokiaľ je hospodárska jednotka totožná so skupinou právnych subjektov, ktorá sa v zmysle pravidiel smerníc/zákona o účtovníctve </w:t>
      </w:r>
      <w:r w:rsidRPr="009F3849">
        <w:t>konsoliduje</w:t>
      </w:r>
      <w:r w:rsidR="006A7E09" w:rsidRPr="009F3849">
        <w:t>,</w:t>
      </w:r>
      <w:r w:rsidRPr="009F3849">
        <w:t xml:space="preserve"> posúdia</w:t>
      </w:r>
      <w:r w:rsidRPr="00375341">
        <w:t xml:space="preserve"> sa znaky podniku v ťažkostiach na úrovni skupiny na základe údajov konsolidovanej účtovnej závierky.</w:t>
      </w:r>
    </w:p>
    <w:p w14:paraId="0E23097F" w14:textId="77777777" w:rsidR="00DB045C" w:rsidRPr="00375341" w:rsidRDefault="00DB045C" w:rsidP="00840806">
      <w:pPr>
        <w:pStyle w:val="Bezriadkovania"/>
      </w:pPr>
    </w:p>
    <w:p w14:paraId="20327861" w14:textId="13F8E724" w:rsidR="00840806" w:rsidRPr="00375341" w:rsidRDefault="00840806" w:rsidP="00840806">
      <w:pPr>
        <w:pStyle w:val="Bezriadkovania"/>
      </w:pPr>
      <w:r w:rsidRPr="00375341">
        <w:t>Pokiaľ nie je hospodárska jednotka totožná so skupinou právnych subjektov, ktorá sa v zmysle pravidiel smerníc/zákona o účtovníctve konsoliduje, posúdia sa znaky podniku v ťažkostiach na úrovni hospodárskej jednotky na základe osobitnej tzv. ad hoc konsolidácie údajov konsolidovaných a/alebo individuálnych účtovných závierok právnych subjektov tvoriacich hospodársku jednotku.</w:t>
      </w:r>
    </w:p>
    <w:p w14:paraId="4EC8025B" w14:textId="77777777" w:rsidR="00DB045C" w:rsidRPr="00375341" w:rsidRDefault="00DB045C" w:rsidP="00840806">
      <w:pPr>
        <w:pStyle w:val="Bezriadkovania"/>
      </w:pPr>
    </w:p>
    <w:p w14:paraId="4B40DF0E" w14:textId="4551A568" w:rsidR="00840806" w:rsidRPr="00375341" w:rsidRDefault="00AC4611" w:rsidP="00840806">
      <w:pPr>
        <w:pStyle w:val="Bezriadkovania"/>
      </w:pPr>
      <w:r w:rsidRPr="00375341">
        <w:t>Subjekt</w:t>
      </w:r>
      <w:r w:rsidR="00840806" w:rsidRPr="00375341">
        <w:t xml:space="preserve">, ktorý je materskou účtovnou jednotkou, ktorá nemá povinnosť zostavovať konsolidovanú účtovnú závierku podľa platnej legislatívy, alebo je členom konsolidovaného celku, ktorého materská účtovná jednotka nemá povinnosť zostavovať konsolidovanú účtovnú závierku podľa platnej legislatívy, je povinný zostaviť konsolidovanú účtovnú závierku alebo zabezpečiť jej zostavenie materskou účtovnou jednotkovou pre účely posúdenia kritérií podľa tejto metodiky. </w:t>
      </w:r>
    </w:p>
    <w:p w14:paraId="51E1338F" w14:textId="77777777" w:rsidR="00DB045C" w:rsidRPr="00375341" w:rsidRDefault="00DB045C" w:rsidP="00840806">
      <w:pPr>
        <w:pStyle w:val="Bezriadkovania"/>
      </w:pPr>
    </w:p>
    <w:p w14:paraId="12B9F04F" w14:textId="57E45009" w:rsidR="00840806" w:rsidRPr="00375341" w:rsidRDefault="00AC4611" w:rsidP="00840806">
      <w:pPr>
        <w:pStyle w:val="Bezriadkovania"/>
      </w:pPr>
      <w:r w:rsidRPr="00375341">
        <w:t>Subjekt</w:t>
      </w:r>
      <w:r w:rsidR="00840806" w:rsidRPr="00375341">
        <w:t xml:space="preserve">, ktorý je súčasťou hospodárskej jednotky, ktorá nepredstavuje konsolidovaný celok, alebo je širšia ako konsolidovaný celok,  a nie je možné zostaviť konsolidovanú účtovnú závierku, je povinný zostaviť spoľahlivé agregované finančné údaje za hospodársku jednotku, z ktorých bude možné posúdiť splnenie kritérií podniku v ťažkostiach. Takéto agregované finančné údaje sa potom považujú za konsolidované údaje podľa </w:t>
      </w:r>
      <w:r w:rsidR="00DB045C" w:rsidRPr="00375341">
        <w:t>tejto metodiky</w:t>
      </w:r>
      <w:r w:rsidR="00840806" w:rsidRPr="00375341">
        <w:t>.</w:t>
      </w:r>
    </w:p>
    <w:p w14:paraId="20118981" w14:textId="77777777" w:rsidR="00DB045C" w:rsidRPr="00375341" w:rsidRDefault="00DB045C" w:rsidP="00840806">
      <w:pPr>
        <w:pStyle w:val="Bezriadkovania"/>
      </w:pPr>
    </w:p>
    <w:p w14:paraId="0244C079" w14:textId="55513F7E" w:rsidR="00840806" w:rsidRPr="00375341" w:rsidRDefault="00840806" w:rsidP="00840806">
      <w:pPr>
        <w:pStyle w:val="Bezriadkovania"/>
      </w:pPr>
      <w:r w:rsidRPr="00375341">
        <w:t xml:space="preserve">Konsolidovaná účtovná závierka sa zostavuje podľa metód a zásad ustanovených v </w:t>
      </w:r>
      <w:r w:rsidR="00A272B6" w:rsidRPr="00375341">
        <w:t>n</w:t>
      </w:r>
      <w:r w:rsidRPr="00375341">
        <w:t xml:space="preserve">ariadení Komisie (ES) č. 1126/2008 z 3. novembra 2008, ktorým sa v súlade s nariadením Európskeho parlamentu a Rady (ES) č. 1606/2002 prijímajú určité medzinárodné účtovné štandardy (Ú. v. EÚ L 320, 29. 11. 2008) v platnom znení alebo podľa obdobných pravidiel platných pre materskú účtovnú jednotku podľa príslušných právnych predpisov. </w:t>
      </w:r>
    </w:p>
    <w:p w14:paraId="7D4A49E2" w14:textId="77777777" w:rsidR="00DB045C" w:rsidRPr="00375341" w:rsidRDefault="00DB045C" w:rsidP="00840806">
      <w:pPr>
        <w:pStyle w:val="Bezriadkovania"/>
      </w:pPr>
    </w:p>
    <w:p w14:paraId="22989729" w14:textId="29A0F259" w:rsidR="00840806" w:rsidRPr="00375341" w:rsidRDefault="00840806" w:rsidP="00840806">
      <w:pPr>
        <w:pStyle w:val="Bezriadkovania"/>
      </w:pPr>
      <w:r w:rsidRPr="00375341">
        <w:t>Pokia</w:t>
      </w:r>
      <w:r w:rsidR="00691A34" w:rsidRPr="00375341">
        <w:t xml:space="preserve">ľ z objektívnych dôvodov nevie </w:t>
      </w:r>
      <w:r w:rsidR="00AC4611" w:rsidRPr="00375341">
        <w:t>subjekt</w:t>
      </w:r>
      <w:r w:rsidRPr="00375341">
        <w:t xml:space="preserve"> získať údaje pre vykonanie ad hoc konsolidácie alebo </w:t>
      </w:r>
      <w:proofErr w:type="spellStart"/>
      <w:r w:rsidRPr="00375341">
        <w:t>agregácie</w:t>
      </w:r>
      <w:proofErr w:type="spellEnd"/>
      <w:r w:rsidRPr="00375341">
        <w:t xml:space="preserve"> finančných údajov (napr. z dôvodu, že niektorý z členov hospodárskej jednotky takéto údaje odmieta poskytnúť, alebo sú údaje nepoužiteľné – napr. z dôvodu odlišného spôsobu vedenia účtovníctva v tretích krajinách a pod.) </w:t>
      </w:r>
      <w:r w:rsidR="00AC4611" w:rsidRPr="00375341">
        <w:t>subjekt</w:t>
      </w:r>
      <w:r w:rsidRPr="00375341">
        <w:t xml:space="preserve"> posúdi znaky podniku v ťažkostiach na úrovni hospodárskej jednotky s určitou mierou neistoty. V tomto prípade je posúdenie znakov podniku v ťažkostiach vykonané v dobrej viere </w:t>
      </w:r>
      <w:r w:rsidR="00AC4611" w:rsidRPr="00375341">
        <w:t>subjektu</w:t>
      </w:r>
      <w:r w:rsidRPr="00375341">
        <w:t xml:space="preserve"> a vyhlásenie </w:t>
      </w:r>
      <w:r w:rsidR="00AC4611" w:rsidRPr="00375341">
        <w:t>subjektu</w:t>
      </w:r>
      <w:r w:rsidRPr="00375341">
        <w:t xml:space="preserve"> o hospodárskej jednotke sa považuje za vyhlásenie v dobrej viere. </w:t>
      </w:r>
    </w:p>
    <w:p w14:paraId="49A3906F" w14:textId="77777777" w:rsidR="00DB045C" w:rsidRPr="00375341" w:rsidRDefault="00DB045C" w:rsidP="00840806">
      <w:pPr>
        <w:pStyle w:val="Bezriadkovania"/>
      </w:pPr>
    </w:p>
    <w:p w14:paraId="210E776D" w14:textId="6E51F65F" w:rsidR="003F6813" w:rsidRPr="00375341" w:rsidRDefault="00AC4611" w:rsidP="00840806">
      <w:pPr>
        <w:pStyle w:val="Bezriadkovania"/>
      </w:pPr>
      <w:r w:rsidRPr="00375341">
        <w:t>Subjekt</w:t>
      </w:r>
      <w:r w:rsidR="00840806" w:rsidRPr="00375341">
        <w:t xml:space="preserve"> nesmie vyhlásením uviesť </w:t>
      </w:r>
      <w:r w:rsidR="00BB3684" w:rsidRPr="00375341">
        <w:t xml:space="preserve">poskytovateľa </w:t>
      </w:r>
      <w:r w:rsidR="00840806" w:rsidRPr="00375341">
        <w:t xml:space="preserve">do omylu. Vyhlásenie, že hospodárska jednotka nie je v ťažkostiach môže </w:t>
      </w:r>
      <w:r w:rsidRPr="00375341">
        <w:t>subjekt</w:t>
      </w:r>
      <w:r w:rsidR="00840806" w:rsidRPr="00375341">
        <w:t xml:space="preserve"> poskytnúť aj v prípade chýbajúcich údajov niektorých členov skupiny avšak len v prípade, ak aj bez týchto údajov možno odôvodnene predpokladať, že hospodárska jednotka nie je v ťažkostiach.</w:t>
      </w:r>
    </w:p>
    <w:p w14:paraId="39744335" w14:textId="77777777" w:rsidR="00DB045C" w:rsidRPr="00375341" w:rsidRDefault="00DB045C" w:rsidP="00840806">
      <w:pPr>
        <w:pStyle w:val="Bezriadkovania"/>
      </w:pPr>
    </w:p>
    <w:p w14:paraId="37196E84" w14:textId="374B50EA" w:rsidR="00840806" w:rsidRPr="00375341" w:rsidRDefault="00AC4611" w:rsidP="00840806">
      <w:pPr>
        <w:pStyle w:val="Bezriadkovania"/>
        <w:rPr>
          <w:b/>
        </w:rPr>
      </w:pPr>
      <w:r w:rsidRPr="00375341">
        <w:rPr>
          <w:b/>
        </w:rPr>
        <w:t>Subjekt</w:t>
      </w:r>
      <w:r w:rsidR="00840806" w:rsidRPr="00375341">
        <w:rPr>
          <w:b/>
        </w:rPr>
        <w:t xml:space="preserve"> sa považuje za podnik v ťažkostiach, ak:</w:t>
      </w:r>
    </w:p>
    <w:p w14:paraId="65B18BBA" w14:textId="45E845E3" w:rsidR="00840806" w:rsidRPr="00375341" w:rsidRDefault="00840806" w:rsidP="00DB045C">
      <w:pPr>
        <w:pStyle w:val="Bezriadkovania"/>
        <w:numPr>
          <w:ilvl w:val="0"/>
          <w:numId w:val="26"/>
        </w:numPr>
      </w:pPr>
      <w:r w:rsidRPr="00375341">
        <w:t>ako právny subjekt, je na základe svojich individuálnych údajov podnikom v ťažkostiach a/alebo</w:t>
      </w:r>
    </w:p>
    <w:p w14:paraId="674A4D3D" w14:textId="77777777" w:rsidR="00840806" w:rsidRPr="00375341" w:rsidRDefault="00840806" w:rsidP="00DB045C">
      <w:pPr>
        <w:pStyle w:val="Bezriadkovania"/>
        <w:numPr>
          <w:ilvl w:val="0"/>
          <w:numId w:val="26"/>
        </w:numPr>
      </w:pPr>
      <w:r w:rsidRPr="00375341">
        <w:t>hospodárska jednotka, ktorej je členom, je na základe konsolidovaných údajov podnikom v ťažkostiach.</w:t>
      </w:r>
    </w:p>
    <w:p w14:paraId="1DD6BEBD" w14:textId="77777777" w:rsidR="00DB045C" w:rsidRPr="00375341" w:rsidRDefault="00DB045C" w:rsidP="00840806">
      <w:pPr>
        <w:pStyle w:val="Bezriadkovania"/>
      </w:pPr>
    </w:p>
    <w:p w14:paraId="32BF8629" w14:textId="1784FD90" w:rsidR="00741213" w:rsidRPr="00375341" w:rsidRDefault="00840806" w:rsidP="00840806">
      <w:pPr>
        <w:pStyle w:val="Bezriadkovania"/>
      </w:pPr>
      <w:r w:rsidRPr="00375341">
        <w:lastRenderedPageBreak/>
        <w:t xml:space="preserve">Ak nie je splnená žiadna z podmienok uvedených v predchádzajúcom odseku, </w:t>
      </w:r>
      <w:r w:rsidR="00AC4611" w:rsidRPr="00375341">
        <w:t>subjekt</w:t>
      </w:r>
      <w:r w:rsidRPr="00375341">
        <w:t xml:space="preserve"> sa nepovažuje za podnik v ťažkostiach, a to ani v prípade, že niektoré iné právne subjekty, ktoré sú členom rovn</w:t>
      </w:r>
      <w:r w:rsidR="00A278A0" w:rsidRPr="00375341">
        <w:t xml:space="preserve">akej hospodárskej jednotky ako </w:t>
      </w:r>
      <w:r w:rsidR="00AC4611" w:rsidRPr="00375341">
        <w:t>dotknutý subjekt</w:t>
      </w:r>
      <w:r w:rsidRPr="00375341">
        <w:t>, sú na základe svojich individuálnych údajov podnikom v ťažkostiach.</w:t>
      </w:r>
    </w:p>
    <w:p w14:paraId="1EB19FAB" w14:textId="77777777" w:rsidR="00100ACF" w:rsidRPr="00375341" w:rsidRDefault="00100ACF" w:rsidP="00840806">
      <w:pPr>
        <w:pStyle w:val="Bezriadkovania"/>
      </w:pPr>
    </w:p>
    <w:p w14:paraId="7B045B7F" w14:textId="5235CF34" w:rsidR="003E59E6" w:rsidRPr="00375341" w:rsidRDefault="003E59E6" w:rsidP="003E59E6">
      <w:pPr>
        <w:pStyle w:val="Nadpis1"/>
      </w:pPr>
      <w:bookmarkStart w:id="34" w:name="_Ref146523229"/>
      <w:r w:rsidRPr="00375341">
        <w:t>Mechanizmus overovania</w:t>
      </w:r>
      <w:bookmarkEnd w:id="34"/>
    </w:p>
    <w:p w14:paraId="259FE366" w14:textId="72DB16C8" w:rsidR="00741213" w:rsidRPr="00375341" w:rsidRDefault="00741213" w:rsidP="00840806">
      <w:pPr>
        <w:pStyle w:val="Bezriadkovania"/>
      </w:pPr>
    </w:p>
    <w:p w14:paraId="686D54C1" w14:textId="772E707C" w:rsidR="00FF77B4" w:rsidRDefault="00741213" w:rsidP="00741213">
      <w:pPr>
        <w:pStyle w:val="Bezriadkovania"/>
      </w:pPr>
      <w:r w:rsidRPr="00375341">
        <w:t xml:space="preserve">Podmienka nebyť podnikom v ťažkostiach je overovaná vo viacerých fázach projektového cyklu. </w:t>
      </w:r>
      <w:r w:rsidR="00FA6EC3" w:rsidRPr="00FA6EC3">
        <w:t>Vo výnimočných prípadoch vyplývajúcich z tejto metodiky (napr. pri nepriamej pomoci) je podmienka overovaná iba raz.</w:t>
      </w:r>
    </w:p>
    <w:p w14:paraId="4B9E4BB1" w14:textId="1CA54F6A" w:rsidR="00FA6EC3" w:rsidRDefault="00FA6EC3" w:rsidP="00741213">
      <w:pPr>
        <w:pStyle w:val="Bezriadkovania"/>
      </w:pPr>
    </w:p>
    <w:p w14:paraId="0CE45D5E" w14:textId="20B77036" w:rsidR="00FA6EC3" w:rsidRDefault="00FA6EC3" w:rsidP="00741213">
      <w:pPr>
        <w:pStyle w:val="Bezriadkovania"/>
      </w:pPr>
      <w:r>
        <w:t xml:space="preserve">V </w:t>
      </w:r>
      <w:r w:rsidRPr="00FA6EC3">
        <w:t xml:space="preserve">závislosti od subjektov, ktorým sa poskytuje podpora v podobe nenávratného finančného príspevku alebo mimo tohto režimu, poskytovateľ zvolí fázy projektového cyklu a formu overenia podmienky nebyť podnikom v ťažkostiach tak, aby bol zachovaný súlad s riadiacim právom, vrátane prílohy č. 7 vzoru audit </w:t>
      </w:r>
      <w:proofErr w:type="spellStart"/>
      <w:r w:rsidRPr="00FA6EC3">
        <w:t>trailu</w:t>
      </w:r>
      <w:proofErr w:type="spellEnd"/>
      <w:r w:rsidRPr="00FA6EC3">
        <w:t>, berúc do úvahy administratívne kapacity poskytovateľa.</w:t>
      </w:r>
    </w:p>
    <w:p w14:paraId="376436BC" w14:textId="77777777" w:rsidR="00FF77B4" w:rsidRDefault="00FF77B4" w:rsidP="00741213">
      <w:pPr>
        <w:pStyle w:val="Bezriadkovania"/>
      </w:pPr>
    </w:p>
    <w:p w14:paraId="20175279" w14:textId="31AB1DE8" w:rsidR="00FF77B4" w:rsidRDefault="00FF77B4" w:rsidP="00741213">
      <w:pPr>
        <w:pStyle w:val="Bezriadkovania"/>
        <w:rPr>
          <w:rFonts w:cstheme="minorHAnsi"/>
        </w:rPr>
      </w:pPr>
      <w:r>
        <w:rPr>
          <w:rFonts w:cstheme="minorHAnsi"/>
        </w:rPr>
        <w:t>Overovanie pozostáva z prvej a z druhej fázy overovania, ako sú ďalej špecifikované v rôznych situáciách, ktoré môžu nastať voči rôznym subjektom.</w:t>
      </w:r>
      <w:r w:rsidR="00FA6EC3">
        <w:rPr>
          <w:rFonts w:cstheme="minorHAnsi"/>
        </w:rPr>
        <w:t xml:space="preserve"> </w:t>
      </w:r>
      <w:r w:rsidR="00FA6EC3" w:rsidRPr="00FA6EC3">
        <w:rPr>
          <w:rFonts w:cstheme="minorHAnsi"/>
        </w:rPr>
        <w:t>Za podmienok uvedených v t</w:t>
      </w:r>
      <w:r w:rsidR="00FA6EC3">
        <w:rPr>
          <w:rFonts w:cstheme="minorHAnsi"/>
        </w:rPr>
        <w:t>ejto metodike môže poskytovateľ</w:t>
      </w:r>
      <w:r w:rsidR="00FA6EC3" w:rsidRPr="00FA6EC3">
        <w:rPr>
          <w:rFonts w:cstheme="minorHAnsi"/>
        </w:rPr>
        <w:t xml:space="preserve"> upustiť od realizácie prvej fázy overovania.</w:t>
      </w:r>
    </w:p>
    <w:p w14:paraId="35C89E45" w14:textId="6D5078B2" w:rsidR="00FF77B4" w:rsidRDefault="00FF77B4" w:rsidP="00741213">
      <w:pPr>
        <w:pStyle w:val="Bezriadkovania"/>
      </w:pPr>
    </w:p>
    <w:p w14:paraId="43333F2C" w14:textId="6F9198E0" w:rsidR="00FF77B4" w:rsidRDefault="00FF77B4" w:rsidP="009E0C4D">
      <w:pPr>
        <w:pStyle w:val="Nadpis2"/>
      </w:pPr>
      <w:r w:rsidRPr="000D1551">
        <w:t>prvá fáza Overovania splnenia podmienky  nebyť podnikom v</w:t>
      </w:r>
      <w:r>
        <w:t> </w:t>
      </w:r>
      <w:r w:rsidRPr="000D1551">
        <w:t>ťažkostiach</w:t>
      </w:r>
      <w:r>
        <w:t xml:space="preserve"> – SPôSOB OVERENIA</w:t>
      </w:r>
    </w:p>
    <w:p w14:paraId="7F7D762A" w14:textId="77777777" w:rsidR="00FF77B4" w:rsidRDefault="00FF77B4" w:rsidP="00741213">
      <w:pPr>
        <w:pStyle w:val="Bezriadkovania"/>
      </w:pPr>
    </w:p>
    <w:p w14:paraId="50A38EC7" w14:textId="51D4DEE0" w:rsidR="00741213" w:rsidRPr="00375341" w:rsidRDefault="00FF77B4" w:rsidP="00C24E31">
      <w:pPr>
        <w:pStyle w:val="Bezriadkovania"/>
      </w:pPr>
      <w:r w:rsidRPr="00FF77B4">
        <w:rPr>
          <w:rFonts w:cstheme="minorHAnsi"/>
        </w:rPr>
        <w:t xml:space="preserve"> </w:t>
      </w:r>
      <w:r w:rsidRPr="000D1551">
        <w:rPr>
          <w:rFonts w:cstheme="minorHAnsi"/>
        </w:rPr>
        <w:t xml:space="preserve">Prvotnú identifikáciu </w:t>
      </w:r>
      <w:r>
        <w:rPr>
          <w:rFonts w:cstheme="minorHAnsi"/>
        </w:rPr>
        <w:t>toho, či subjekt spĺňa podmienku nebyť podnikom v ťažkostiach, vykoná</w:t>
      </w:r>
      <w:r w:rsidR="00741213" w:rsidRPr="00375341">
        <w:t xml:space="preserve"> </w:t>
      </w:r>
      <w:r w:rsidR="00CF4C48" w:rsidRPr="00375341">
        <w:t>subjekt</w:t>
      </w:r>
      <w:r w:rsidR="00741213" w:rsidRPr="00375341">
        <w:t xml:space="preserve"> sám so zohľadnením informácií uvedených v tejto metodike</w:t>
      </w:r>
      <w:r w:rsidRPr="00FF77B4">
        <w:rPr>
          <w:rFonts w:cstheme="minorHAnsi"/>
        </w:rPr>
        <w:t xml:space="preserve"> </w:t>
      </w:r>
      <w:r w:rsidRPr="000D1551">
        <w:rPr>
          <w:rFonts w:cstheme="minorHAnsi"/>
        </w:rPr>
        <w:t xml:space="preserve">a podľa konkrétnych podmienok určených vo výzve. Subjekt zhodnotí, či napĺňa/nenapĺňa definície podniku v ťažkostiach. </w:t>
      </w:r>
      <w:r w:rsidRPr="008B75E5">
        <w:rPr>
          <w:rFonts w:cstheme="minorHAnsi"/>
        </w:rPr>
        <w:t xml:space="preserve">Ako výstup vykonaného zhodnotenia podmienky nebyť podnikom v ťažkostiach v prvej fáze overenia subjekt predkladá čestné vyhlásenie, ktorého vzor bude zverejnený na webovom sídle poskytovateľa spolu s ostatnou dokumentáciou </w:t>
      </w:r>
      <w:r w:rsidR="00FA6EC3">
        <w:rPr>
          <w:rFonts w:cstheme="minorHAnsi"/>
        </w:rPr>
        <w:t>(</w:t>
      </w:r>
      <w:r w:rsidR="00FA6EC3" w:rsidRPr="00FA6EC3">
        <w:rPr>
          <w:rFonts w:cstheme="minorHAnsi"/>
        </w:rPr>
        <w:t>napríklad pri uzatváraní zmluvy o poskytnutí NFP</w:t>
      </w:r>
      <w:r w:rsidR="00FA6EC3">
        <w:rPr>
          <w:rFonts w:cstheme="minorHAnsi"/>
        </w:rPr>
        <w:t xml:space="preserve"> ide o dokumentáciu </w:t>
      </w:r>
      <w:r w:rsidRPr="005F5F0E">
        <w:rPr>
          <w:rFonts w:cstheme="minorHAnsi"/>
        </w:rPr>
        <w:t>k poskytnutiu súčinnosti</w:t>
      </w:r>
      <w:r w:rsidR="00FA6EC3">
        <w:rPr>
          <w:rFonts w:cstheme="minorHAnsi"/>
        </w:rPr>
        <w:t>)</w:t>
      </w:r>
      <w:r w:rsidRPr="005F5F0E">
        <w:rPr>
          <w:rFonts w:cstheme="minorHAnsi"/>
        </w:rPr>
        <w:t xml:space="preserve">. </w:t>
      </w:r>
      <w:r w:rsidR="3D97C5A1" w:rsidRPr="00375341">
        <w:t>Toto</w:t>
      </w:r>
      <w:r w:rsidR="00741213" w:rsidRPr="00375341">
        <w:t xml:space="preserve"> čestn</w:t>
      </w:r>
      <w:r w:rsidR="1146434A" w:rsidRPr="00375341">
        <w:t>é</w:t>
      </w:r>
      <w:r w:rsidR="00741213" w:rsidRPr="00375341">
        <w:t xml:space="preserve"> vyhlásen</w:t>
      </w:r>
      <w:r w:rsidR="7C8CF028" w:rsidRPr="00375341">
        <w:t>ie</w:t>
      </w:r>
      <w:r w:rsidR="00741213" w:rsidRPr="00375341">
        <w:t xml:space="preserve"> </w:t>
      </w:r>
      <w:r w:rsidR="74BD8408" w:rsidRPr="00375341">
        <w:t>zahŕňa všetky</w:t>
      </w:r>
      <w:r w:rsidR="00741213" w:rsidRPr="00375341">
        <w:t> kritéri</w:t>
      </w:r>
      <w:r w:rsidR="3B831063" w:rsidRPr="00375341">
        <w:t>á</w:t>
      </w:r>
      <w:r w:rsidR="00741213" w:rsidRPr="00375341">
        <w:t xml:space="preserve"> uveden</w:t>
      </w:r>
      <w:r w:rsidR="6A5F7266" w:rsidRPr="00375341">
        <w:t>é</w:t>
      </w:r>
      <w:r w:rsidR="00741213" w:rsidRPr="00375341">
        <w:t xml:space="preserve"> v kapitole 2 tejto metodiky a zároveň </w:t>
      </w:r>
      <w:r w:rsidR="25ED9205" w:rsidRPr="00375341">
        <w:t>skutočnosť, že</w:t>
      </w:r>
      <w:r w:rsidR="00741213" w:rsidRPr="00375341">
        <w:t xml:space="preserve"> </w:t>
      </w:r>
      <w:r w:rsidR="00CF4C48" w:rsidRPr="00375341">
        <w:t>subjekt</w:t>
      </w:r>
      <w:r w:rsidR="001853D6" w:rsidRPr="00375341">
        <w:t xml:space="preserve"> </w:t>
      </w:r>
      <w:r w:rsidR="00741213" w:rsidRPr="00375341">
        <w:t>nie je členom žiadnej hospodárskej jednotky, resp.</w:t>
      </w:r>
      <w:r w:rsidR="00290B26" w:rsidRPr="00375341">
        <w:t>, že</w:t>
      </w:r>
      <w:r w:rsidR="00741213" w:rsidRPr="00375341">
        <w:t xml:space="preserve"> hospodárska jednotka, ktorej je členom, nie je podnikom v ťažkostiach.</w:t>
      </w:r>
      <w:r w:rsidR="000E2317" w:rsidRPr="00375341">
        <w:t xml:space="preserve"> </w:t>
      </w:r>
    </w:p>
    <w:p w14:paraId="2DA93ACA" w14:textId="494FD3A6" w:rsidR="00741213" w:rsidRDefault="00741213" w:rsidP="00741213">
      <w:pPr>
        <w:pStyle w:val="Bezriadkovania"/>
      </w:pPr>
    </w:p>
    <w:p w14:paraId="167754EF" w14:textId="5B599127" w:rsidR="00033E3B" w:rsidRDefault="00033E3B" w:rsidP="009E0C4D">
      <w:pPr>
        <w:pStyle w:val="Nadpis2"/>
      </w:pPr>
      <w:bookmarkStart w:id="35" w:name="_Ref167086828"/>
      <w:r w:rsidRPr="000D1551">
        <w:t>prvá fáza Overovania splnenia podmienky  nebyť podnikom v</w:t>
      </w:r>
      <w:r>
        <w:t> </w:t>
      </w:r>
      <w:r w:rsidRPr="000D1551">
        <w:t>ťažkostiach</w:t>
      </w:r>
      <w:r>
        <w:t xml:space="preserve"> – ČASOVÉ HĽADISKO</w:t>
      </w:r>
      <w:bookmarkEnd w:id="35"/>
    </w:p>
    <w:p w14:paraId="1622757D" w14:textId="7BC5F8A2" w:rsidR="00033E3B" w:rsidRDefault="00033E3B" w:rsidP="00741213">
      <w:pPr>
        <w:pStyle w:val="Bezriadkovania"/>
      </w:pPr>
    </w:p>
    <w:p w14:paraId="050BE1CE" w14:textId="77777777" w:rsidR="00033E3B" w:rsidRDefault="00033E3B" w:rsidP="00033E3B">
      <w:pPr>
        <w:spacing w:after="0" w:line="257" w:lineRule="auto"/>
        <w:rPr>
          <w:rFonts w:cstheme="minorHAnsi"/>
        </w:rPr>
      </w:pPr>
      <w:r w:rsidRPr="000D1551">
        <w:rPr>
          <w:rFonts w:cstheme="minorHAnsi"/>
        </w:rPr>
        <w:t xml:space="preserve">Prvá fáza </w:t>
      </w:r>
      <w:r>
        <w:rPr>
          <w:rFonts w:cstheme="minorHAnsi"/>
        </w:rPr>
        <w:t xml:space="preserve">overovania </w:t>
      </w:r>
      <w:r w:rsidRPr="000D1551">
        <w:rPr>
          <w:rFonts w:cstheme="minorHAnsi"/>
        </w:rPr>
        <w:t xml:space="preserve">prebieha </w:t>
      </w:r>
      <w:r>
        <w:rPr>
          <w:rFonts w:cstheme="minorHAnsi"/>
        </w:rPr>
        <w:t xml:space="preserve">vo vzťahu k rôznym implementačným situáciám a subjektom v nasledovných etapách a vo vzťahu k identifikovaným úkonom takto: </w:t>
      </w:r>
    </w:p>
    <w:p w14:paraId="33E2499E" w14:textId="77777777" w:rsidR="00033E3B" w:rsidRDefault="00033E3B" w:rsidP="00033E3B">
      <w:pPr>
        <w:spacing w:after="0" w:line="257" w:lineRule="auto"/>
        <w:rPr>
          <w:rFonts w:cstheme="minorHAnsi"/>
        </w:rPr>
      </w:pPr>
    </w:p>
    <w:p w14:paraId="0B2F0B91" w14:textId="37F46C17" w:rsidR="00033E3B" w:rsidRPr="009E0C4D" w:rsidRDefault="00033E3B" w:rsidP="00033E3B">
      <w:pPr>
        <w:pStyle w:val="Odsekzoznamu"/>
        <w:numPr>
          <w:ilvl w:val="0"/>
          <w:numId w:val="34"/>
        </w:numPr>
        <w:spacing w:after="0" w:line="257" w:lineRule="auto"/>
        <w:jc w:val="both"/>
        <w:rPr>
          <w:rFonts w:asciiTheme="minorHAnsi" w:hAnsiTheme="minorHAnsi" w:cstheme="minorHAnsi"/>
          <w:lang w:val="sk-SK"/>
        </w:rPr>
      </w:pPr>
      <w:r w:rsidRPr="009E0C4D">
        <w:rPr>
          <w:rFonts w:asciiTheme="minorHAnsi" w:hAnsiTheme="minorHAnsi" w:cstheme="minorHAnsi"/>
          <w:lang w:val="sk-SK"/>
        </w:rPr>
        <w:t>v etape pred uzavretím zmluvy o poskytnutí NFP → v rámci poskytnutia súčinnosti podľa § 22 ods. 3 zákona o príspevkoch z fondov EÚ,</w:t>
      </w:r>
    </w:p>
    <w:p w14:paraId="36E384D3" w14:textId="093ECFB1" w:rsidR="00FA6EC3" w:rsidRPr="009E0C4D" w:rsidRDefault="00FA6EC3" w:rsidP="00FA6EC3">
      <w:pPr>
        <w:pStyle w:val="Odsekzoznamu"/>
        <w:numPr>
          <w:ilvl w:val="0"/>
          <w:numId w:val="34"/>
        </w:numPr>
        <w:spacing w:after="0" w:line="257" w:lineRule="auto"/>
        <w:jc w:val="both"/>
        <w:rPr>
          <w:rFonts w:asciiTheme="minorHAnsi" w:hAnsiTheme="minorHAnsi" w:cstheme="minorHAnsi"/>
          <w:lang w:val="sk-SK"/>
        </w:rPr>
      </w:pPr>
      <w:r w:rsidRPr="009E0C4D">
        <w:rPr>
          <w:rFonts w:asciiTheme="minorHAnsi" w:hAnsiTheme="minorHAnsi" w:cstheme="minorHAnsi"/>
          <w:lang w:val="sk-SK"/>
        </w:rPr>
        <w:t>v etape pred uzavretím zmluvy ohľadne užívateľa → v rámci poskytnutia súčinnosti pri uzatváraní zmluvy s užívateľom alebo pri inom úkone týkajúcom sa uzatvárania zmluvy alebo založenia iného obdobného právneho vzťahu s užívateľom podľa § 3 písm. u) zákona o príspevkoch z fondov EÚ,</w:t>
      </w:r>
    </w:p>
    <w:p w14:paraId="26DB72FF" w14:textId="77777777" w:rsidR="00033E3B" w:rsidRPr="009E0C4D" w:rsidRDefault="00033E3B" w:rsidP="00033E3B">
      <w:pPr>
        <w:pStyle w:val="Odsekzoznamu"/>
        <w:numPr>
          <w:ilvl w:val="0"/>
          <w:numId w:val="34"/>
        </w:numPr>
        <w:spacing w:after="0" w:line="257" w:lineRule="auto"/>
        <w:jc w:val="both"/>
        <w:rPr>
          <w:rFonts w:asciiTheme="minorHAnsi" w:hAnsiTheme="minorHAnsi" w:cstheme="minorHAnsi"/>
          <w:lang w:val="sk-SK"/>
        </w:rPr>
      </w:pPr>
      <w:r w:rsidRPr="009E0C4D">
        <w:rPr>
          <w:rFonts w:asciiTheme="minorHAnsi" w:hAnsiTheme="minorHAnsi" w:cstheme="minorHAnsi"/>
          <w:lang w:val="sk-SK"/>
        </w:rPr>
        <w:t xml:space="preserve">v etape pred povolením nahradenia existujúceho partnera alebo doplnenia nového partnera → pri predložení žiadosti o zmenu zmluvy o poskytnutí NFP len vo vzťahu k novému partnerovi. </w:t>
      </w:r>
    </w:p>
    <w:p w14:paraId="74E069FE" w14:textId="77777777" w:rsidR="00033E3B" w:rsidRPr="00375341" w:rsidRDefault="00033E3B" w:rsidP="00741213">
      <w:pPr>
        <w:pStyle w:val="Bezriadkovania"/>
      </w:pPr>
    </w:p>
    <w:p w14:paraId="65D6A191" w14:textId="77777777" w:rsidR="00CD1DCD" w:rsidRDefault="00CD1DCD" w:rsidP="00CD1DCD">
      <w:pPr>
        <w:pStyle w:val="Nadpis2"/>
        <w:numPr>
          <w:ilvl w:val="0"/>
          <w:numId w:val="0"/>
        </w:numPr>
        <w:ind w:left="792"/>
      </w:pPr>
    </w:p>
    <w:p w14:paraId="71996D83" w14:textId="77777777" w:rsidR="00CD1DCD" w:rsidRDefault="00CD1DCD" w:rsidP="00CD1DCD">
      <w:pPr>
        <w:pStyle w:val="Nadpis2"/>
        <w:numPr>
          <w:ilvl w:val="0"/>
          <w:numId w:val="0"/>
        </w:numPr>
        <w:ind w:left="792"/>
      </w:pPr>
    </w:p>
    <w:p w14:paraId="5F43E4E0" w14:textId="77777777" w:rsidR="00CD1DCD" w:rsidRDefault="00CD1DCD" w:rsidP="00CD1DCD">
      <w:pPr>
        <w:pStyle w:val="Nadpis2"/>
        <w:numPr>
          <w:ilvl w:val="0"/>
          <w:numId w:val="0"/>
        </w:numPr>
        <w:ind w:left="360"/>
      </w:pPr>
    </w:p>
    <w:p w14:paraId="6F7A590C" w14:textId="5CEBDB2B" w:rsidR="00033E3B" w:rsidRDefault="00033E3B" w:rsidP="009E0C4D">
      <w:pPr>
        <w:pStyle w:val="Nadpis2"/>
      </w:pPr>
      <w:r>
        <w:lastRenderedPageBreak/>
        <w:t xml:space="preserve">druhá fáza </w:t>
      </w:r>
      <w:r w:rsidRPr="000D1551">
        <w:t>Overovani</w:t>
      </w:r>
      <w:r>
        <w:t>a</w:t>
      </w:r>
      <w:r w:rsidRPr="000D1551">
        <w:t xml:space="preserve"> splnenia podmienky </w:t>
      </w:r>
      <w:r>
        <w:t>nebyť podnikom v ťažkostiach</w:t>
      </w:r>
    </w:p>
    <w:p w14:paraId="6BD4B0B6" w14:textId="77777777" w:rsidR="00033E3B" w:rsidRDefault="00033E3B" w:rsidP="00741213">
      <w:pPr>
        <w:pStyle w:val="Bezriadkovania"/>
      </w:pPr>
    </w:p>
    <w:p w14:paraId="0CEE08B5" w14:textId="24612A9E" w:rsidR="00033E3B" w:rsidRDefault="00033E3B" w:rsidP="00741213">
      <w:pPr>
        <w:pStyle w:val="Bezriadkovania"/>
        <w:rPr>
          <w:rFonts w:cstheme="minorHAnsi"/>
          <w:u w:val="single"/>
        </w:rPr>
      </w:pPr>
      <w:r>
        <w:rPr>
          <w:rFonts w:cstheme="minorHAnsi"/>
        </w:rPr>
        <w:t xml:space="preserve">Druhá fáza overovania podmienky nebyť podnikom v ťažkostiach nastane následne po rozhodnom momente </w:t>
      </w:r>
      <w:r w:rsidRPr="003D67B0">
        <w:rPr>
          <w:rFonts w:cstheme="minorHAnsi"/>
          <w:u w:val="single"/>
        </w:rPr>
        <w:t>pre overenie ku dňu poskytnutia pomoci</w:t>
      </w:r>
      <w:r>
        <w:rPr>
          <w:rFonts w:cstheme="minorHAnsi"/>
          <w:u w:val="single"/>
        </w:rPr>
        <w:t xml:space="preserve"> podľa kapitoly </w:t>
      </w:r>
      <w:r>
        <w:rPr>
          <w:rFonts w:cstheme="minorHAnsi"/>
          <w:u w:val="single"/>
        </w:rPr>
        <w:fldChar w:fldCharType="begin"/>
      </w:r>
      <w:r>
        <w:rPr>
          <w:rFonts w:cstheme="minorHAnsi"/>
          <w:u w:val="single"/>
        </w:rPr>
        <w:instrText xml:space="preserve"> REF _Ref167083858 \r \h </w:instrText>
      </w:r>
      <w:r>
        <w:rPr>
          <w:rFonts w:cstheme="minorHAnsi"/>
          <w:u w:val="single"/>
        </w:rPr>
      </w:r>
      <w:r>
        <w:rPr>
          <w:rFonts w:cstheme="minorHAnsi"/>
          <w:u w:val="single"/>
        </w:rPr>
        <w:fldChar w:fldCharType="separate"/>
      </w:r>
      <w:r>
        <w:rPr>
          <w:rFonts w:cstheme="minorHAnsi"/>
          <w:u w:val="single"/>
        </w:rPr>
        <w:t>3</w:t>
      </w:r>
      <w:r>
        <w:rPr>
          <w:rFonts w:cstheme="minorHAnsi"/>
          <w:u w:val="single"/>
        </w:rPr>
        <w:fldChar w:fldCharType="end"/>
      </w:r>
      <w:r>
        <w:rPr>
          <w:rFonts w:cstheme="minorHAnsi"/>
          <w:u w:val="single"/>
        </w:rPr>
        <w:t xml:space="preserve">. Overenie sa vykonáva povinne, vykonáva ho poskytovateľ, a to na základe údajov platných k rozhodnému momentu pre overenie ku dňu poskytnutia pomoci podľa kapitoly </w:t>
      </w:r>
      <w:r>
        <w:rPr>
          <w:rFonts w:cstheme="minorHAnsi"/>
          <w:u w:val="single"/>
        </w:rPr>
        <w:fldChar w:fldCharType="begin"/>
      </w:r>
      <w:r>
        <w:rPr>
          <w:rFonts w:cstheme="minorHAnsi"/>
          <w:u w:val="single"/>
        </w:rPr>
        <w:instrText xml:space="preserve"> REF _Ref167083864 \r \h </w:instrText>
      </w:r>
      <w:r>
        <w:rPr>
          <w:rFonts w:cstheme="minorHAnsi"/>
          <w:u w:val="single"/>
        </w:rPr>
      </w:r>
      <w:r>
        <w:rPr>
          <w:rFonts w:cstheme="minorHAnsi"/>
          <w:u w:val="single"/>
        </w:rPr>
        <w:fldChar w:fldCharType="separate"/>
      </w:r>
      <w:r>
        <w:rPr>
          <w:rFonts w:cstheme="minorHAnsi"/>
          <w:u w:val="single"/>
        </w:rPr>
        <w:t>3</w:t>
      </w:r>
      <w:r>
        <w:rPr>
          <w:rFonts w:cstheme="minorHAnsi"/>
          <w:u w:val="single"/>
        </w:rPr>
        <w:fldChar w:fldCharType="end"/>
      </w:r>
      <w:r>
        <w:rPr>
          <w:rFonts w:cstheme="minorHAnsi"/>
          <w:u w:val="single"/>
        </w:rPr>
        <w:t>.</w:t>
      </w:r>
    </w:p>
    <w:p w14:paraId="3EACBE86" w14:textId="77777777" w:rsidR="00033E3B" w:rsidRDefault="00033E3B" w:rsidP="00741213">
      <w:pPr>
        <w:pStyle w:val="Bezriadkovania"/>
      </w:pPr>
    </w:p>
    <w:p w14:paraId="502E4805" w14:textId="4B820A78" w:rsidR="00033E3B" w:rsidRDefault="00033E3B" w:rsidP="00741213">
      <w:pPr>
        <w:pStyle w:val="Bezriadkovania"/>
      </w:pPr>
      <w:r>
        <w:rPr>
          <w:rFonts w:cstheme="minorHAnsi"/>
          <w:u w:val="single"/>
        </w:rPr>
        <w:t xml:space="preserve">Základom pre vyhodnotenie splnenia podmienky nebyť podnikom v ťažkostiach je jeden alebo viacero dokumentov podľa toho, akou skutočnosťou sa zakladá rozhodný moment vo vzťahu k danému subjektu. </w:t>
      </w:r>
      <w:r w:rsidR="00741213" w:rsidRPr="00375341">
        <w:t xml:space="preserve">V rámci overenia bude </w:t>
      </w:r>
      <w:r>
        <w:t xml:space="preserve">preto </w:t>
      </w:r>
      <w:r w:rsidR="00AC4611" w:rsidRPr="00375341">
        <w:t xml:space="preserve">subjekt </w:t>
      </w:r>
      <w:r w:rsidR="00741213" w:rsidRPr="00375341">
        <w:t>povinný predložiť údaje potrebné na vyhodnotenie podniku v ťažkostiach podľa ustanovení zmluvy o poskytnutí NFP</w:t>
      </w:r>
      <w:r>
        <w:t>, podľa dodatku k zmluve o poskytnutí NFP</w:t>
      </w:r>
      <w:r w:rsidR="00FA6EC3">
        <w:t>, podľa zmluvy s užívateľom alebo iného dokumentu preukazujúceho iný obdobný právny vzťah s užívateľom</w:t>
      </w:r>
      <w:r w:rsidR="00741213" w:rsidRPr="00375341">
        <w:t xml:space="preserve"> a/alebo </w:t>
      </w:r>
      <w:r>
        <w:t xml:space="preserve">podľa </w:t>
      </w:r>
      <w:r w:rsidR="00741213" w:rsidRPr="00375341">
        <w:t>riadiacej dokumentácie. Tieto údaje pozostávajú z čestného vyhlásenia ku kritériám C a D a k hospo</w:t>
      </w:r>
      <w:r w:rsidR="00B4592E">
        <w:t>dárskej jednotke</w:t>
      </w:r>
      <w:r>
        <w:t>, ktor</w:t>
      </w:r>
      <w:r w:rsidR="00C427F1">
        <w:t>ých</w:t>
      </w:r>
      <w:r>
        <w:t xml:space="preserve"> vzor zverejní poskytovateľ v rámci Príručky pre prijímateľa</w:t>
      </w:r>
      <w:r w:rsidR="00FA6EC3">
        <w:t xml:space="preserve"> </w:t>
      </w:r>
      <w:r w:rsidR="00FA6EC3" w:rsidRPr="00FA6EC3">
        <w:t>alebo iným vhodným spôsobom, ak uplatnenie Príručky pre prijímateľa nie je vo vzťahu k subjektu relevantné</w:t>
      </w:r>
      <w:r w:rsidR="00741213" w:rsidRPr="00375341">
        <w:t>.</w:t>
      </w:r>
      <w:r w:rsidR="00B4592E">
        <w:t xml:space="preserve"> </w:t>
      </w:r>
      <w:r w:rsidR="00741213" w:rsidRPr="00375341">
        <w:t xml:space="preserve">Kritériá A, B a E </w:t>
      </w:r>
      <w:r w:rsidR="00BB3684" w:rsidRPr="00375341">
        <w:t>poskytovateľ</w:t>
      </w:r>
      <w:r w:rsidR="00741213" w:rsidRPr="00375341">
        <w:t xml:space="preserve"> vyhodnotí na základe údajov dostupných v registri účtovných závierok. V odôvodnených prípadoch (</w:t>
      </w:r>
      <w:r>
        <w:rPr>
          <w:rFonts w:cstheme="minorHAnsi"/>
        </w:rPr>
        <w:t xml:space="preserve">napr. </w:t>
      </w:r>
      <w:r w:rsidR="00C427F1">
        <w:rPr>
          <w:rFonts w:cstheme="minorHAnsi"/>
        </w:rPr>
        <w:t xml:space="preserve">ak </w:t>
      </w:r>
      <w:r>
        <w:rPr>
          <w:rFonts w:cstheme="minorHAnsi"/>
        </w:rPr>
        <w:t xml:space="preserve">dotknutá </w:t>
      </w:r>
      <w:r w:rsidRPr="000D1551">
        <w:rPr>
          <w:rFonts w:cstheme="minorHAnsi"/>
        </w:rPr>
        <w:t>účtovn</w:t>
      </w:r>
      <w:r>
        <w:rPr>
          <w:rFonts w:cstheme="minorHAnsi"/>
        </w:rPr>
        <w:t>á</w:t>
      </w:r>
      <w:r w:rsidRPr="000D1551">
        <w:rPr>
          <w:rFonts w:cstheme="minorHAnsi"/>
        </w:rPr>
        <w:t xml:space="preserve"> závierk</w:t>
      </w:r>
      <w:r>
        <w:rPr>
          <w:rFonts w:cstheme="minorHAnsi"/>
        </w:rPr>
        <w:t>a nie je dostupná</w:t>
      </w:r>
      <w:r w:rsidRPr="000D1551">
        <w:rPr>
          <w:rFonts w:cstheme="minorHAnsi"/>
        </w:rPr>
        <w:t xml:space="preserve"> v</w:t>
      </w:r>
      <w:r>
        <w:rPr>
          <w:rFonts w:cstheme="minorHAnsi"/>
        </w:rPr>
        <w:t> </w:t>
      </w:r>
      <w:r w:rsidRPr="000D1551">
        <w:rPr>
          <w:rFonts w:cstheme="minorHAnsi"/>
        </w:rPr>
        <w:t xml:space="preserve">registri účtovných závierok, </w:t>
      </w:r>
      <w:r>
        <w:rPr>
          <w:rFonts w:cstheme="minorHAnsi"/>
        </w:rPr>
        <w:t xml:space="preserve">nie je daná </w:t>
      </w:r>
      <w:r w:rsidRPr="000D1551">
        <w:rPr>
          <w:rFonts w:cstheme="minorHAnsi"/>
        </w:rPr>
        <w:t xml:space="preserve">dostatočná miera detailu účtovnej závierky, </w:t>
      </w:r>
      <w:r>
        <w:rPr>
          <w:rFonts w:cstheme="minorHAnsi"/>
        </w:rPr>
        <w:t xml:space="preserve">existuje </w:t>
      </w:r>
      <w:r w:rsidRPr="000D1551">
        <w:rPr>
          <w:rFonts w:cstheme="minorHAnsi"/>
        </w:rPr>
        <w:t>nejednoznačnosť overenia z</w:t>
      </w:r>
      <w:r>
        <w:rPr>
          <w:rFonts w:cstheme="minorHAnsi"/>
        </w:rPr>
        <w:t> </w:t>
      </w:r>
      <w:r w:rsidRPr="000D1551">
        <w:rPr>
          <w:rFonts w:cstheme="minorHAnsi"/>
        </w:rPr>
        <w:t xml:space="preserve">dostupných údajov, </w:t>
      </w:r>
      <w:r>
        <w:rPr>
          <w:rFonts w:cstheme="minorHAnsi"/>
        </w:rPr>
        <w:t xml:space="preserve">existujú </w:t>
      </w:r>
      <w:r w:rsidRPr="000D1551">
        <w:rPr>
          <w:rFonts w:cstheme="minorHAnsi"/>
        </w:rPr>
        <w:t>pochybnosti o</w:t>
      </w:r>
      <w:r>
        <w:rPr>
          <w:rFonts w:cstheme="minorHAnsi"/>
        </w:rPr>
        <w:t> </w:t>
      </w:r>
      <w:r w:rsidRPr="000D1551">
        <w:rPr>
          <w:rFonts w:cstheme="minorHAnsi"/>
        </w:rPr>
        <w:t>pravdivosti čestného vyhlásenia</w:t>
      </w:r>
      <w:r w:rsidR="00741213" w:rsidRPr="00375341">
        <w:t xml:space="preserve">) môže </w:t>
      </w:r>
      <w:r w:rsidR="00BB3684" w:rsidRPr="00375341">
        <w:t>poskytovateľ</w:t>
      </w:r>
      <w:r w:rsidR="00741213" w:rsidRPr="00375341">
        <w:t xml:space="preserve"> vyzvať </w:t>
      </w:r>
      <w:r w:rsidR="00AC4611" w:rsidRPr="00375341">
        <w:t>dotknutý subjekt</w:t>
      </w:r>
      <w:r w:rsidR="00741213" w:rsidRPr="00375341">
        <w:t xml:space="preserve"> na poskytnutie doplňujúcich údajov.</w:t>
      </w:r>
      <w:r>
        <w:t xml:space="preserve"> </w:t>
      </w:r>
      <w:r>
        <w:rPr>
          <w:rFonts w:cstheme="minorHAnsi"/>
        </w:rPr>
        <w:t xml:space="preserve">Všetky údaje, ktoré subjekt poskytne pre účely overenia a ktoré sa bežným spôsobom nedajú overiť, sa považujú za poskytnuté v dobrej viere a ak neexistujú odôvodnené pochybnosti, tak z nich poskytovateľ pri overení vychádza. </w:t>
      </w:r>
      <w:r w:rsidR="00741213" w:rsidRPr="00375341">
        <w:t xml:space="preserve"> </w:t>
      </w:r>
    </w:p>
    <w:p w14:paraId="124224EC" w14:textId="77777777" w:rsidR="00033E3B" w:rsidRDefault="00033E3B" w:rsidP="00741213">
      <w:pPr>
        <w:pStyle w:val="Bezriadkovania"/>
      </w:pPr>
    </w:p>
    <w:p w14:paraId="504130B2" w14:textId="4AB81FFE" w:rsidR="00741213" w:rsidRPr="00375341" w:rsidRDefault="00033E3B" w:rsidP="00741213">
      <w:pPr>
        <w:pStyle w:val="Bezriadkovania"/>
      </w:pPr>
      <w:r w:rsidRPr="000D1551">
        <w:rPr>
          <w:rFonts w:cstheme="minorHAnsi"/>
        </w:rPr>
        <w:t>P</w:t>
      </w:r>
      <w:r>
        <w:rPr>
          <w:rFonts w:cstheme="minorHAnsi"/>
        </w:rPr>
        <w:t xml:space="preserve">ostupom podľa tejto metodiky </w:t>
      </w:r>
      <w:r w:rsidR="00BB3684" w:rsidRPr="00375341">
        <w:t>Poskytovateľ</w:t>
      </w:r>
      <w:r w:rsidR="00741213" w:rsidRPr="00375341">
        <w:t xml:space="preserve"> overí splnenie podmienky nebyť podnikom v ťažkostiach na úrovni právneho subjektu, a to u všetkých </w:t>
      </w:r>
      <w:r w:rsidR="00AC4611" w:rsidRPr="00375341">
        <w:t>subjektov</w:t>
      </w:r>
      <w:r w:rsidR="00741213" w:rsidRPr="00375341">
        <w:t xml:space="preserve">. Zároveň bude </w:t>
      </w:r>
      <w:r w:rsidR="00BB3684" w:rsidRPr="00375341">
        <w:t>poskytovateľ</w:t>
      </w:r>
      <w:r w:rsidR="00741213" w:rsidRPr="00375341">
        <w:t xml:space="preserve"> vykonávať náhodnú vzorkovú kontrolu podmienky nebyť podnikom v ťažkostiach na úrovni hospodárskej jednotky</w:t>
      </w:r>
      <w:r w:rsidR="00290B26" w:rsidRPr="00375341">
        <w:t xml:space="preserve"> na základe vopred stanovených objektívnych kritérií</w:t>
      </w:r>
      <w:r w:rsidR="00BD392D" w:rsidRPr="00983609">
        <w:rPr>
          <w:rStyle w:val="Odkaznapoznmkupodiarou"/>
        </w:rPr>
        <w:footnoteReference w:id="21"/>
      </w:r>
      <w:r w:rsidR="00741213" w:rsidRPr="00375341">
        <w:t xml:space="preserve">. Na tento účel si od vybraných </w:t>
      </w:r>
      <w:r w:rsidR="00AC4611" w:rsidRPr="00375341">
        <w:t>subjektov</w:t>
      </w:r>
      <w:r w:rsidR="00741213" w:rsidRPr="00375341">
        <w:t xml:space="preserve"> vyžiada doplňujúce údaje, najmä konsolidované údaje podľa kapitoly </w:t>
      </w:r>
      <w:r w:rsidR="00BD392D">
        <w:fldChar w:fldCharType="begin"/>
      </w:r>
      <w:r w:rsidR="00BD392D">
        <w:instrText xml:space="preserve"> REF _Ref167084324 \r \h </w:instrText>
      </w:r>
      <w:r w:rsidR="00BD392D">
        <w:fldChar w:fldCharType="separate"/>
      </w:r>
      <w:r w:rsidR="00BD392D">
        <w:t>5.2</w:t>
      </w:r>
      <w:r w:rsidR="00BD392D">
        <w:fldChar w:fldCharType="end"/>
      </w:r>
      <w:r w:rsidR="00741213" w:rsidRPr="00375341">
        <w:t xml:space="preserve"> tejto metodiky a informácie o štruktúre hospodárskej jednotky.</w:t>
      </w:r>
      <w:r w:rsidR="00BD392D">
        <w:t xml:space="preserve"> </w:t>
      </w:r>
      <w:r w:rsidR="00BD392D" w:rsidRPr="008B75E5">
        <w:rPr>
          <w:rFonts w:cstheme="minorHAnsi"/>
        </w:rPr>
        <w:t>Veľkosť vzorky pre overenie podmienky nebyť v ťažkostiach závisí od vyhodnotenia rizík vo vzťahu k posudzovanej skupine subjektov, napr. vo vzťahu k danej výzve/hodnotiacemu kolu danej výzvy, ktoré projekty sú predmetom</w:t>
      </w:r>
      <w:r w:rsidR="00BD392D">
        <w:rPr>
          <w:rFonts w:cstheme="minorHAnsi"/>
        </w:rPr>
        <w:t xml:space="preserve"> </w:t>
      </w:r>
      <w:proofErr w:type="spellStart"/>
      <w:r w:rsidR="00BD392D">
        <w:rPr>
          <w:rFonts w:cstheme="minorHAnsi"/>
        </w:rPr>
        <w:t>zazmluvňovania</w:t>
      </w:r>
      <w:proofErr w:type="spellEnd"/>
      <w:r w:rsidR="00BD392D" w:rsidRPr="000D1551">
        <w:rPr>
          <w:rFonts w:cstheme="minorHAnsi"/>
        </w:rPr>
        <w:t>, ako aj od administratívnych možností poskytovateľa.</w:t>
      </w:r>
    </w:p>
    <w:p w14:paraId="6FF60A48" w14:textId="77777777" w:rsidR="00741213" w:rsidRPr="00375341" w:rsidRDefault="00741213" w:rsidP="00741213">
      <w:pPr>
        <w:pStyle w:val="Bezriadkovania"/>
      </w:pPr>
    </w:p>
    <w:p w14:paraId="4CF56265" w14:textId="48C7A04A" w:rsidR="00741213" w:rsidRPr="00375341" w:rsidRDefault="00741213" w:rsidP="00741213">
      <w:pPr>
        <w:pStyle w:val="Bezriadkovania"/>
      </w:pPr>
      <w:r w:rsidRPr="00375341">
        <w:t xml:space="preserve">Overenie je potrebné zrealizovať pred úhradou </w:t>
      </w:r>
      <w:r w:rsidR="00BD392D">
        <w:rPr>
          <w:rFonts w:cstheme="minorHAnsi"/>
        </w:rPr>
        <w:t xml:space="preserve">prvého finančného plnenia, napr. pred úhradou </w:t>
      </w:r>
      <w:r w:rsidRPr="00375341">
        <w:t>prvej žiadosti o</w:t>
      </w:r>
      <w:r w:rsidR="006D0E97" w:rsidRPr="00375341">
        <w:t> </w:t>
      </w:r>
      <w:r w:rsidRPr="00375341">
        <w:t xml:space="preserve">platbu. </w:t>
      </w:r>
      <w:r w:rsidR="00BB3684" w:rsidRPr="00375341">
        <w:t>Poskytovateľ</w:t>
      </w:r>
      <w:r w:rsidRPr="00375341">
        <w:t xml:space="preserve"> si preto vyhradzuje právo pozastaviť výkon </w:t>
      </w:r>
      <w:r w:rsidR="00BD392D">
        <w:t xml:space="preserve">príslušnej </w:t>
      </w:r>
      <w:r w:rsidRPr="00375341">
        <w:t>administratívnej finančnej kontroly žiadostí o</w:t>
      </w:r>
      <w:r w:rsidR="00BD392D">
        <w:t> </w:t>
      </w:r>
      <w:r w:rsidRPr="00375341">
        <w:t>platbu</w:t>
      </w:r>
      <w:r w:rsidR="00BD392D">
        <w:t>,</w:t>
      </w:r>
      <w:r w:rsidRPr="00375341">
        <w:t xml:space="preserve"> do času vykonania tohto overenia.</w:t>
      </w:r>
      <w:r w:rsidR="00BA69D6">
        <w:t xml:space="preserve"> </w:t>
      </w:r>
      <w:r w:rsidR="00BA69D6" w:rsidRPr="00BA69D6">
        <w:t>Ak k úhrade finančného plnenia nedochádza, overenie je potrebné vykonať v čase vyplývajúc</w:t>
      </w:r>
      <w:r w:rsidR="00BA69D6">
        <w:t>om z dokumentácie poskytovateľa</w:t>
      </w:r>
      <w:r w:rsidR="00BA69D6" w:rsidRPr="00BA69D6">
        <w:t>.</w:t>
      </w:r>
    </w:p>
    <w:p w14:paraId="7CCC8871" w14:textId="77777777" w:rsidR="00741213" w:rsidRPr="00375341" w:rsidRDefault="00741213" w:rsidP="00741213">
      <w:pPr>
        <w:pStyle w:val="Bezriadkovania"/>
      </w:pPr>
    </w:p>
    <w:p w14:paraId="4D9B4964" w14:textId="7D380F14" w:rsidR="00741213" w:rsidRDefault="00741213" w:rsidP="00741213">
      <w:pPr>
        <w:pStyle w:val="Bezriadkovania"/>
      </w:pPr>
      <w:r w:rsidRPr="00375341">
        <w:t xml:space="preserve">Všetky pojmy, definície a postupy určené v tejto metodike predpokladajú, že </w:t>
      </w:r>
      <w:r w:rsidR="002436FE" w:rsidRPr="00375341">
        <w:t>subjekt</w:t>
      </w:r>
      <w:r w:rsidRPr="00375341">
        <w:t xml:space="preserve"> dodržiava ustanovenia platnej legislatívy. Na postupy, ktoré sú v rozpore s platnou legislatívou a údaje, ktoré sú výsledkom takýchto postupov</w:t>
      </w:r>
      <w:r w:rsidR="0097362F" w:rsidRPr="00375341">
        <w:t>,</w:t>
      </w:r>
      <w:r w:rsidRPr="00375341">
        <w:t xml:space="preserve"> sa neprihliada</w:t>
      </w:r>
      <w:r w:rsidR="00193F3D">
        <w:t>, s výnimkou podľa nasledujúcej vety</w:t>
      </w:r>
      <w:r w:rsidRPr="00375341">
        <w:t xml:space="preserve">. Ak v dôsledku nedodržania ustanovení platnej legislatívy nie sú k dispozícii údaje, ktoré by inak boli k dispozícii (napr. nie je zostavená a/alebo zverejnená účtovná závierka napriek uplynutiu zodpovedajúcich lehôt), alebo nie sú vykonané požadované úkony (napr. nie je schválená účtovná závierka napriek uplynutiu lehoty na jej schválenie), bude posúdenie podniku v ťažkostiach vykonané až po vykonaní nápravy zo strany </w:t>
      </w:r>
      <w:r w:rsidR="009D1851" w:rsidRPr="00375341">
        <w:t>dotknutého subjektu</w:t>
      </w:r>
      <w:r w:rsidRPr="00375341">
        <w:t xml:space="preserve">. </w:t>
      </w:r>
    </w:p>
    <w:p w14:paraId="6AA75E9C" w14:textId="4224F8F8" w:rsidR="00BD392D" w:rsidRDefault="00BD392D" w:rsidP="00741213">
      <w:pPr>
        <w:pStyle w:val="Bezriadkovania"/>
      </w:pPr>
    </w:p>
    <w:p w14:paraId="47E94D18" w14:textId="77777777" w:rsidR="00BD392D" w:rsidRPr="00BD392D" w:rsidRDefault="00BD392D" w:rsidP="00BD392D">
      <w:pPr>
        <w:spacing w:after="0" w:line="257" w:lineRule="auto"/>
        <w:rPr>
          <w:rFonts w:cstheme="minorHAnsi"/>
        </w:rPr>
      </w:pPr>
      <w:r w:rsidRPr="00445534">
        <w:rPr>
          <w:rFonts w:cstheme="minorHAnsi"/>
          <w:u w:val="single"/>
        </w:rPr>
        <w:lastRenderedPageBreak/>
        <w:t>Vo vzťahu k overeniu podmienky nebyť podnikom v ťažkostiach vo vzťahu k prijímateľovi</w:t>
      </w:r>
      <w:r>
        <w:rPr>
          <w:rFonts w:cstheme="minorHAnsi"/>
        </w:rPr>
        <w:t xml:space="preserve"> sa osobitne </w:t>
      </w:r>
      <w:r w:rsidRPr="00BD392D">
        <w:rPr>
          <w:rFonts w:cstheme="minorHAnsi"/>
        </w:rPr>
        <w:t xml:space="preserve">uvádzajú nasledovné skutočnosti: </w:t>
      </w:r>
    </w:p>
    <w:p w14:paraId="5C3F748C" w14:textId="4F94E06E" w:rsidR="00BD392D" w:rsidRPr="00BA69D6" w:rsidRDefault="00BD392D" w:rsidP="00BA69D6">
      <w:pPr>
        <w:pStyle w:val="Odsekzoznamu"/>
        <w:numPr>
          <w:ilvl w:val="3"/>
          <w:numId w:val="35"/>
        </w:numPr>
        <w:spacing w:after="0" w:line="257" w:lineRule="auto"/>
        <w:ind w:left="709"/>
        <w:jc w:val="both"/>
        <w:rPr>
          <w:rFonts w:asciiTheme="minorHAnsi" w:hAnsiTheme="minorHAnsi" w:cstheme="minorHAnsi"/>
          <w:lang w:val="sk-SK"/>
        </w:rPr>
      </w:pPr>
      <w:r w:rsidRPr="00BA69D6">
        <w:rPr>
          <w:rFonts w:asciiTheme="minorHAnsi" w:hAnsiTheme="minorHAnsi" w:cstheme="minorHAnsi"/>
          <w:lang w:val="sk-SK"/>
        </w:rPr>
        <w:t>rozhodujúcim právnym základom pre overenie je zmluva o poskytnutí NFP</w:t>
      </w:r>
      <w:r w:rsidR="00BA69D6">
        <w:rPr>
          <w:rFonts w:asciiTheme="minorHAnsi" w:hAnsiTheme="minorHAnsi" w:cstheme="minorHAnsi"/>
          <w:lang w:val="sk-SK"/>
        </w:rPr>
        <w:t xml:space="preserve">, </w:t>
      </w:r>
      <w:r w:rsidR="00BA69D6" w:rsidRPr="00BA69D6">
        <w:rPr>
          <w:rFonts w:asciiTheme="minorHAnsi" w:hAnsiTheme="minorHAnsi" w:cstheme="minorHAnsi"/>
          <w:lang w:val="sk-SK"/>
        </w:rPr>
        <w:t>prípadne rozhodnutie vydané podľa § 13 ods. 2 zákona o príspevkoch z fondov EÚ</w:t>
      </w:r>
      <w:r w:rsidR="00BA69D6">
        <w:rPr>
          <w:rStyle w:val="Odkaznapoznmkupodiarou"/>
          <w:rFonts w:asciiTheme="minorHAnsi" w:hAnsiTheme="minorHAnsi" w:cstheme="minorHAnsi"/>
          <w:lang w:val="sk-SK"/>
        </w:rPr>
        <w:footnoteReference w:id="22"/>
      </w:r>
      <w:r w:rsidRPr="00BA69D6">
        <w:rPr>
          <w:rFonts w:asciiTheme="minorHAnsi" w:hAnsiTheme="minorHAnsi" w:cstheme="minorHAnsi"/>
          <w:lang w:val="sk-SK"/>
        </w:rPr>
        <w:t xml:space="preserve">. V prípade rozporu medzi zmluvou o poskytnutí NFP a inými dokumentami  poskytovateľa, má prednosť zmluva o poskytnutí NFP, </w:t>
      </w:r>
    </w:p>
    <w:p w14:paraId="09670F1B" w14:textId="77777777" w:rsidR="00BD392D" w:rsidRPr="00BA69D6" w:rsidRDefault="00BD392D" w:rsidP="00BA69D6">
      <w:pPr>
        <w:pStyle w:val="Odsekzoznamu"/>
        <w:numPr>
          <w:ilvl w:val="3"/>
          <w:numId w:val="35"/>
        </w:numPr>
        <w:spacing w:after="0" w:line="257" w:lineRule="auto"/>
        <w:ind w:left="709"/>
        <w:jc w:val="both"/>
        <w:rPr>
          <w:rFonts w:asciiTheme="minorHAnsi" w:hAnsiTheme="minorHAnsi" w:cstheme="minorHAnsi"/>
          <w:lang w:val="sk-SK"/>
        </w:rPr>
      </w:pPr>
      <w:r w:rsidRPr="00BA69D6">
        <w:rPr>
          <w:rFonts w:asciiTheme="minorHAnsi" w:hAnsiTheme="minorHAnsi" w:cstheme="minorHAnsi"/>
          <w:lang w:val="sk-SK"/>
        </w:rPr>
        <w:t xml:space="preserve">prijímateľ je povinný do 10 pracovných dní od nadobudnutia účinnosti zmluvy o poskytnutí NFP predložiť poskytovateľovi údaje potrebné na overenie podmienky nebyť podnikom v ťažkostiach, </w:t>
      </w:r>
    </w:p>
    <w:p w14:paraId="51BB3608" w14:textId="77777777" w:rsidR="00BD392D" w:rsidRPr="00BA69D6" w:rsidRDefault="00BD392D" w:rsidP="00BA69D6">
      <w:pPr>
        <w:pStyle w:val="Odsekzoznamu"/>
        <w:numPr>
          <w:ilvl w:val="3"/>
          <w:numId w:val="35"/>
        </w:numPr>
        <w:spacing w:after="0" w:line="257" w:lineRule="auto"/>
        <w:ind w:left="709"/>
        <w:jc w:val="both"/>
        <w:rPr>
          <w:rFonts w:asciiTheme="minorHAnsi" w:hAnsiTheme="minorHAnsi" w:cstheme="minorHAnsi"/>
          <w:lang w:val="sk-SK"/>
        </w:rPr>
      </w:pPr>
      <w:r w:rsidRPr="00BA69D6">
        <w:rPr>
          <w:rFonts w:asciiTheme="minorHAnsi" w:hAnsiTheme="minorHAnsi" w:cstheme="minorHAnsi"/>
          <w:lang w:val="sk-SK"/>
        </w:rPr>
        <w:t>k vykonaniu overenia musí dôjsť čo najskôr, a to vždy pred preplatením prvej žiadosti o platbu,</w:t>
      </w:r>
    </w:p>
    <w:p w14:paraId="1614A5BA" w14:textId="77777777" w:rsidR="00BD392D" w:rsidRPr="00BA69D6" w:rsidRDefault="00BD392D" w:rsidP="00BA69D6">
      <w:pPr>
        <w:pStyle w:val="Odsekzoznamu"/>
        <w:numPr>
          <w:ilvl w:val="3"/>
          <w:numId w:val="35"/>
        </w:numPr>
        <w:spacing w:after="0" w:line="257" w:lineRule="auto"/>
        <w:ind w:left="709"/>
        <w:jc w:val="both"/>
        <w:rPr>
          <w:rFonts w:asciiTheme="minorHAnsi" w:hAnsiTheme="minorHAnsi" w:cstheme="minorHAnsi"/>
          <w:lang w:val="sk-SK"/>
        </w:rPr>
      </w:pPr>
      <w:r w:rsidRPr="00BA69D6">
        <w:rPr>
          <w:rFonts w:asciiTheme="minorHAnsi" w:hAnsiTheme="minorHAnsi" w:cstheme="minorHAnsi"/>
          <w:lang w:val="sk-SK"/>
        </w:rPr>
        <w:t xml:space="preserve">po vykonaní overenia poskytovateľ oznámi výsledok overenia prijímateľovi, </w:t>
      </w:r>
    </w:p>
    <w:p w14:paraId="31269BBA" w14:textId="77777777" w:rsidR="00BD392D" w:rsidRPr="00BA69D6" w:rsidRDefault="00BD392D" w:rsidP="00BA69D6">
      <w:pPr>
        <w:pStyle w:val="Odsekzoznamu"/>
        <w:numPr>
          <w:ilvl w:val="3"/>
          <w:numId w:val="35"/>
        </w:numPr>
        <w:spacing w:after="0" w:line="257" w:lineRule="auto"/>
        <w:ind w:left="709"/>
        <w:jc w:val="both"/>
        <w:rPr>
          <w:rFonts w:asciiTheme="minorHAnsi" w:hAnsiTheme="minorHAnsi" w:cstheme="minorHAnsi"/>
          <w:lang w:val="sk-SK"/>
        </w:rPr>
      </w:pPr>
      <w:r w:rsidRPr="00BA69D6">
        <w:rPr>
          <w:rFonts w:asciiTheme="minorHAnsi" w:hAnsiTheme="minorHAnsi" w:cstheme="minorHAnsi"/>
          <w:lang w:val="sk-SK"/>
        </w:rPr>
        <w:t xml:space="preserve">ak zmluva o poskytnutí NFP obsahuje rozväzovaciu podmienku jej účinnosti, doručením oznámenia poskytovateľa prijímateľovi o tom, že podľa overenia prijímateľ ku dňu poskytnutia pomoci nespĺňa podmienku nebyť podnikom v ťažkostiach, zmluva o poskytnutí NFP zaniká (bez potreby vykonania ďalšieho úkonu, napríklad odstúpenia od zmluvy alebo iného), </w:t>
      </w:r>
    </w:p>
    <w:p w14:paraId="1F70242D" w14:textId="3130E92A" w:rsidR="00BD392D" w:rsidRPr="00CD1DCD" w:rsidRDefault="00BD392D" w:rsidP="004C0F15">
      <w:pPr>
        <w:pStyle w:val="Odsekzoznamu"/>
        <w:numPr>
          <w:ilvl w:val="3"/>
          <w:numId w:val="35"/>
        </w:numPr>
        <w:spacing w:after="0" w:line="257" w:lineRule="auto"/>
        <w:ind w:left="709"/>
        <w:jc w:val="both"/>
        <w:rPr>
          <w:rFonts w:cstheme="minorHAnsi"/>
          <w:lang w:val="sk-SK"/>
        </w:rPr>
      </w:pPr>
      <w:r w:rsidRPr="00CD1DCD">
        <w:rPr>
          <w:rFonts w:asciiTheme="minorHAnsi" w:hAnsiTheme="minorHAnsi" w:cstheme="minorHAnsi"/>
          <w:lang w:val="sk-SK"/>
        </w:rPr>
        <w:t>ak zmluva o poskytnutí NFP nemá obsiahnutú rozväzovaciu podmienku jej účinnosti podľa bodu (v) vyššie alebo ak overenie poskytovateľ nevykonal do preplatenia prvej žiadosti o platbu, a súčasne z overenia vyplýva, že prijímateľ nespĺňa podmienku nebyť podnikom v ťažkostiach ku dňu poskytnutia pomoci, poskytovateľ odstúpi od zmluvy o poskytnutí NFP a súčasne bude žiadať vrátenie celej sumy vyplateného NFP spolu s úrokom.</w:t>
      </w:r>
    </w:p>
    <w:p w14:paraId="595B625C" w14:textId="77777777" w:rsidR="00741213" w:rsidRPr="00375341" w:rsidRDefault="00741213" w:rsidP="00741213">
      <w:pPr>
        <w:pStyle w:val="Bezriadkovania"/>
      </w:pPr>
    </w:p>
    <w:p w14:paraId="2FFC2145" w14:textId="77777777" w:rsidR="00DC5DF7" w:rsidRPr="00375341" w:rsidRDefault="00DC5DF7" w:rsidP="00DC5DF7">
      <w:pPr>
        <w:pStyle w:val="Bezriadkovania"/>
      </w:pPr>
    </w:p>
    <w:p w14:paraId="753AFA65" w14:textId="3A07191C" w:rsidR="009D1851" w:rsidRPr="00283CC8" w:rsidRDefault="00BD392D" w:rsidP="00DC5DF7">
      <w:pPr>
        <w:pStyle w:val="Bezriadkovania"/>
      </w:pPr>
      <w:r w:rsidRPr="00445534">
        <w:rPr>
          <w:rFonts w:cstheme="minorHAnsi"/>
          <w:u w:val="single"/>
        </w:rPr>
        <w:t>Vo vzťahu k overeniu podmienky nebyť podnikom v ťažkostiach vo vzťahu k</w:t>
      </w:r>
      <w:r w:rsidR="00BA69D6">
        <w:rPr>
          <w:rFonts w:cstheme="minorHAnsi"/>
          <w:u w:val="single"/>
        </w:rPr>
        <w:t> </w:t>
      </w:r>
      <w:r>
        <w:rPr>
          <w:rFonts w:cstheme="minorHAnsi"/>
          <w:u w:val="single"/>
        </w:rPr>
        <w:t>partnerovi</w:t>
      </w:r>
      <w:r w:rsidR="00BA69D6">
        <w:rPr>
          <w:rFonts w:cstheme="minorHAnsi"/>
          <w:u w:val="single"/>
        </w:rPr>
        <w:t>,</w:t>
      </w:r>
      <w:r>
        <w:rPr>
          <w:rFonts w:cstheme="minorHAnsi"/>
          <w:u w:val="single"/>
        </w:rPr>
        <w:t xml:space="preserve"> </w:t>
      </w:r>
      <w:r w:rsidRPr="00445534">
        <w:rPr>
          <w:rFonts w:cstheme="minorHAnsi"/>
          <w:u w:val="single"/>
        </w:rPr>
        <w:t>novému partnerovi</w:t>
      </w:r>
      <w:r w:rsidR="00BA69D6">
        <w:rPr>
          <w:rFonts w:cstheme="minorHAnsi"/>
          <w:u w:val="single"/>
        </w:rPr>
        <w:t xml:space="preserve"> alebo užívateľovi</w:t>
      </w:r>
      <w:r w:rsidRPr="00445534">
        <w:rPr>
          <w:rFonts w:cstheme="minorHAnsi"/>
          <w:u w:val="single"/>
        </w:rPr>
        <w:t xml:space="preserve"> </w:t>
      </w:r>
      <w:r w:rsidRPr="00062EF7">
        <w:rPr>
          <w:rFonts w:cstheme="minorHAnsi"/>
        </w:rPr>
        <w:t xml:space="preserve">sa postupuje primerane podľa </w:t>
      </w:r>
      <w:r w:rsidRPr="0034420C">
        <w:rPr>
          <w:rFonts w:cstheme="minorHAnsi"/>
        </w:rPr>
        <w:t>postupu uvedeného</w:t>
      </w:r>
      <w:r w:rsidRPr="00062EF7">
        <w:rPr>
          <w:rFonts w:cstheme="minorHAnsi"/>
        </w:rPr>
        <w:t xml:space="preserve"> vo vzťahu k prijímateľovi. Nie je potrebné vykonať úkony, na ktoré nie je právny základ (napr. vo vzťahu k týmto subjektom nie je dohodnutá tzv. rozväzovacia podmienka). Vždy je však potrebné ukončiť zmluvný, resp. iný právny vzťah primerane podľa bodu (vi) vyššie, ak poskytovateľ zistí, že </w:t>
      </w:r>
      <w:r w:rsidR="00BA69D6">
        <w:rPr>
          <w:rFonts w:cstheme="minorHAnsi"/>
        </w:rPr>
        <w:t>partner,</w:t>
      </w:r>
      <w:r>
        <w:rPr>
          <w:rFonts w:cstheme="minorHAnsi"/>
        </w:rPr>
        <w:t xml:space="preserve"> </w:t>
      </w:r>
      <w:r w:rsidRPr="00062EF7">
        <w:rPr>
          <w:rFonts w:cstheme="minorHAnsi"/>
        </w:rPr>
        <w:t>nový partner</w:t>
      </w:r>
      <w:r w:rsidR="00BA69D6">
        <w:rPr>
          <w:rFonts w:cstheme="minorHAnsi"/>
        </w:rPr>
        <w:t xml:space="preserve"> alebo užívateľ</w:t>
      </w:r>
      <w:r w:rsidRPr="00062EF7">
        <w:rPr>
          <w:rFonts w:cstheme="minorHAnsi"/>
        </w:rPr>
        <w:t xml:space="preserve"> nespĺňa podmienku nebyť podnikom v ťažkostiach </w:t>
      </w:r>
      <w:r w:rsidRPr="00062EF7">
        <w:t xml:space="preserve">a súčasne </w:t>
      </w:r>
      <w:r>
        <w:t xml:space="preserve">vykonať úkony na to, aby partner </w:t>
      </w:r>
      <w:r w:rsidR="00BA69D6">
        <w:t xml:space="preserve">resp. užívateľ </w:t>
      </w:r>
      <w:r>
        <w:t xml:space="preserve">vrátil celú sumu </w:t>
      </w:r>
      <w:r w:rsidRPr="00062EF7">
        <w:t xml:space="preserve">vyplateného </w:t>
      </w:r>
      <w:r>
        <w:t>finančného plnenia</w:t>
      </w:r>
      <w:r w:rsidRPr="00062EF7">
        <w:t xml:space="preserve"> spolu s úrokom. </w:t>
      </w:r>
      <w:r>
        <w:t xml:space="preserve">To znamená, že ak </w:t>
      </w:r>
      <w:r w:rsidR="009D1851" w:rsidRPr="00375341">
        <w:t xml:space="preserve">poskytovateľ overením zistí, že </w:t>
      </w:r>
      <w:r w:rsidR="00985D47">
        <w:t>partner</w:t>
      </w:r>
      <w:r w:rsidR="009D1851" w:rsidRPr="00375341">
        <w:t>,</w:t>
      </w:r>
      <w:r>
        <w:t xml:space="preserve"> nový partner</w:t>
      </w:r>
      <w:r w:rsidR="00BA69D6">
        <w:t>, užívateľ</w:t>
      </w:r>
      <w:r w:rsidR="009D1851" w:rsidRPr="00375341">
        <w:t xml:space="preserve"> resp. hospodárska jednotka, ktorej je </w:t>
      </w:r>
      <w:r w:rsidR="00985D47">
        <w:t>partner</w:t>
      </w:r>
      <w:r>
        <w:t>, nový partner</w:t>
      </w:r>
      <w:r w:rsidR="00BA69D6">
        <w:t>, užívateľ</w:t>
      </w:r>
      <w:r w:rsidR="009D1851" w:rsidRPr="00375341">
        <w:t xml:space="preserve"> členom, </w:t>
      </w:r>
      <w:r>
        <w:t xml:space="preserve">ku dňu poskytnutia pomoci, </w:t>
      </w:r>
      <w:r w:rsidR="009D1851" w:rsidRPr="00375341">
        <w:t xml:space="preserve">sa považuje za podnik v ťažkostiach, bude </w:t>
      </w:r>
      <w:r w:rsidR="002436FE" w:rsidRPr="00375341">
        <w:t xml:space="preserve">bezodkladne ukončený zmluvný vzťah medzi prijímateľom a dotknutým </w:t>
      </w:r>
      <w:r w:rsidR="00985D47">
        <w:t>partnerom</w:t>
      </w:r>
      <w:r>
        <w:t>, novým partnerom</w:t>
      </w:r>
      <w:r w:rsidR="002436FE" w:rsidRPr="00375341">
        <w:t xml:space="preserve"> spôsobom stanoveným v zmluve o</w:t>
      </w:r>
      <w:r w:rsidR="00BA69D6">
        <w:t> </w:t>
      </w:r>
      <w:r w:rsidR="002436FE" w:rsidRPr="00375341">
        <w:t>partnerstve</w:t>
      </w:r>
      <w:r w:rsidR="00BA69D6">
        <w:t xml:space="preserve"> resp. bude bezodkladne ukončený zmluvný alebo obdobný vzťah s užívateľom</w:t>
      </w:r>
      <w:r w:rsidR="002436FE" w:rsidRPr="00375341">
        <w:t>.</w:t>
      </w:r>
    </w:p>
    <w:p w14:paraId="7CC14763" w14:textId="32B3E819" w:rsidR="009D1851" w:rsidRDefault="009D1851" w:rsidP="00100ACF"/>
    <w:p w14:paraId="37F93D61" w14:textId="6782DDD6" w:rsidR="00BD392D" w:rsidRPr="00375341" w:rsidRDefault="00BD392D" w:rsidP="009E0C4D">
      <w:pPr>
        <w:pStyle w:val="Nadpis1"/>
      </w:pPr>
      <w:r w:rsidRPr="00375341">
        <w:t>Osobitné postupy aplikovania výnimiek</w:t>
      </w:r>
      <w:r>
        <w:t xml:space="preserve"> na strane poskytovateľa</w:t>
      </w:r>
    </w:p>
    <w:p w14:paraId="6FB4919F" w14:textId="77777777" w:rsidR="00BD392D" w:rsidRPr="00375341" w:rsidRDefault="00BD392D" w:rsidP="00BD392D">
      <w:pPr>
        <w:pStyle w:val="Bezriadkovania"/>
      </w:pPr>
    </w:p>
    <w:p w14:paraId="7D43635D" w14:textId="77777777" w:rsidR="00BD392D" w:rsidRPr="00375341" w:rsidRDefault="00BD392D" w:rsidP="00BD392D">
      <w:pPr>
        <w:pStyle w:val="Bezriadkovania"/>
      </w:pPr>
      <w:r w:rsidRPr="00375341">
        <w:t>V prípadoch, kedy v rámci nastavenia príslušnej výzvy nie je potrebné overovať veľkostnú kategóriu podniku a/alebo dobu existencie MSP pre iné účely ako je overenie podniku v ťažkostiach, môže poskytovateľ pri prvotnom overení upustiť od aplikácie týchto dvoch výnimiek a overiť všetky subjekty ako veľké podniky. Následne pristúpi k overeniu veľkostnej kategórie podniku a doby existencie MSP už len v prípadoch, kedy by aplikácia týchto výnimiek mohla mať dopad na vyhodnotenie podmienky nebyť podnikom v ťažkostiach.</w:t>
      </w:r>
    </w:p>
    <w:p w14:paraId="3ADBD8FB" w14:textId="77777777" w:rsidR="00BD392D" w:rsidRPr="00283CC8" w:rsidRDefault="00BD392D" w:rsidP="00100ACF"/>
    <w:sectPr w:rsidR="00BD392D" w:rsidRPr="00283CC8">
      <w:head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924490E" w16cex:dateUtc="2023-06-07T05:14:19.721Z"/>
</w16cex:commentsExtensible>
</file>

<file path=word/commentsIds.xml><?xml version="1.0" encoding="utf-8"?>
<w16cid:commentsIds xmlns:mc="http://schemas.openxmlformats.org/markup-compatibility/2006" xmlns:w16cid="http://schemas.microsoft.com/office/word/2016/wordml/cid" mc:Ignorable="w16cid">
  <w16cid:commentId w16cid:paraId="696D5737" w16cid:durableId="792449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F2DC2" w14:textId="77777777" w:rsidR="00A172FA" w:rsidRDefault="00A172FA" w:rsidP="0054016E">
      <w:pPr>
        <w:spacing w:after="0" w:line="240" w:lineRule="auto"/>
      </w:pPr>
      <w:r>
        <w:separator/>
      </w:r>
    </w:p>
  </w:endnote>
  <w:endnote w:type="continuationSeparator" w:id="0">
    <w:p w14:paraId="5547A5B5" w14:textId="77777777" w:rsidR="00A172FA" w:rsidRDefault="00A172FA" w:rsidP="0054016E">
      <w:pPr>
        <w:spacing w:after="0" w:line="240" w:lineRule="auto"/>
      </w:pPr>
      <w:r>
        <w:continuationSeparator/>
      </w:r>
    </w:p>
  </w:endnote>
  <w:endnote w:type="continuationNotice" w:id="1">
    <w:p w14:paraId="6087AEA9" w14:textId="77777777" w:rsidR="00A172FA" w:rsidRDefault="00A172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C5D5" w14:textId="77777777" w:rsidR="00AB75FC" w:rsidRDefault="00AB75F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128F" w14:textId="74A4D14C" w:rsidR="009E0C4D" w:rsidRDefault="009E0C4D">
    <w:pPr>
      <w:pStyle w:val="Pta"/>
      <w:jc w:val="right"/>
    </w:pPr>
    <w:r>
      <w:fldChar w:fldCharType="begin"/>
    </w:r>
    <w:r>
      <w:instrText>PAGE   \* MERGEFORMAT</w:instrText>
    </w:r>
    <w:r>
      <w:fldChar w:fldCharType="separate"/>
    </w:r>
    <w:r w:rsidR="008B5F51">
      <w:rPr>
        <w:noProof/>
      </w:rPr>
      <w:t>17</w:t>
    </w:r>
    <w:r>
      <w:rPr>
        <w:noProof/>
      </w:rPr>
      <w:fldChar w:fldCharType="end"/>
    </w:r>
  </w:p>
  <w:p w14:paraId="0799E413" w14:textId="77777777" w:rsidR="009E0C4D" w:rsidRDefault="009E0C4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BB54E" w14:textId="77777777" w:rsidR="00AB75FC" w:rsidRDefault="00AB75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103BD" w14:textId="77777777" w:rsidR="00A172FA" w:rsidRDefault="00A172FA" w:rsidP="0054016E">
      <w:pPr>
        <w:spacing w:after="0" w:line="240" w:lineRule="auto"/>
      </w:pPr>
      <w:r>
        <w:separator/>
      </w:r>
    </w:p>
  </w:footnote>
  <w:footnote w:type="continuationSeparator" w:id="0">
    <w:p w14:paraId="15B687CD" w14:textId="77777777" w:rsidR="00A172FA" w:rsidRDefault="00A172FA" w:rsidP="0054016E">
      <w:pPr>
        <w:spacing w:after="0" w:line="240" w:lineRule="auto"/>
      </w:pPr>
      <w:r>
        <w:continuationSeparator/>
      </w:r>
    </w:p>
  </w:footnote>
  <w:footnote w:type="continuationNotice" w:id="1">
    <w:p w14:paraId="7501C0DB" w14:textId="77777777" w:rsidR="00A172FA" w:rsidRDefault="00A172FA">
      <w:pPr>
        <w:spacing w:after="0" w:line="240" w:lineRule="auto"/>
      </w:pPr>
    </w:p>
  </w:footnote>
  <w:footnote w:id="2">
    <w:p w14:paraId="2401D8B4" w14:textId="54C07E10" w:rsidR="009E0C4D" w:rsidRDefault="009E0C4D">
      <w:pPr>
        <w:pStyle w:val="Textpoznmkypodiarou"/>
      </w:pPr>
      <w:r>
        <w:rPr>
          <w:rStyle w:val="Odkaznapoznmkupodiarou"/>
        </w:rPr>
        <w:footnoteRef/>
      </w:r>
      <w:r>
        <w:t xml:space="preserve"> </w:t>
      </w:r>
      <w:r w:rsidRPr="00D70496">
        <w:t>Bod 10, 2.1. Oznámenia Komisie o pojme Štátna pomoc uvedenom v Článku 107 ods. 1 Zmluvy o fungovaní Európskej únie (2016/C 262/01).</w:t>
      </w:r>
    </w:p>
  </w:footnote>
  <w:footnote w:id="3">
    <w:p w14:paraId="6B6979D1" w14:textId="67777E4C" w:rsidR="009E0C4D" w:rsidRPr="009064EF" w:rsidRDefault="009E0C4D" w:rsidP="009064EF">
      <w:pPr>
        <w:spacing w:after="0" w:line="240" w:lineRule="auto"/>
        <w:rPr>
          <w:sz w:val="16"/>
          <w:szCs w:val="20"/>
        </w:rPr>
      </w:pPr>
      <w:r w:rsidRPr="009064EF">
        <w:rPr>
          <w:sz w:val="16"/>
          <w:szCs w:val="20"/>
          <w:vertAlign w:val="superscript"/>
        </w:rPr>
        <w:footnoteRef/>
      </w:r>
      <w:r w:rsidRPr="009064EF">
        <w:rPr>
          <w:sz w:val="16"/>
          <w:szCs w:val="20"/>
        </w:rPr>
        <w:t xml:space="preserve"> (Ú. v. EÚ L 231, 30.6.2021, p. 60–93). V zmysle </w:t>
      </w:r>
      <w:r>
        <w:rPr>
          <w:sz w:val="16"/>
          <w:szCs w:val="20"/>
        </w:rPr>
        <w:t>pre</w:t>
      </w:r>
      <w:r w:rsidRPr="009064EF">
        <w:rPr>
          <w:sz w:val="16"/>
          <w:szCs w:val="20"/>
        </w:rPr>
        <w:t>dmetn</w:t>
      </w:r>
      <w:r>
        <w:rPr>
          <w:sz w:val="16"/>
          <w:szCs w:val="20"/>
        </w:rPr>
        <w:t>ých nariadení</w:t>
      </w:r>
      <w:r w:rsidRPr="009064EF">
        <w:rPr>
          <w:sz w:val="16"/>
          <w:szCs w:val="20"/>
        </w:rPr>
        <w:t xml:space="preserve"> platí, že Európsky fond regionálneho rozvoja a Kohézny fond </w:t>
      </w:r>
      <w:r>
        <w:rPr>
          <w:sz w:val="16"/>
          <w:szCs w:val="20"/>
        </w:rPr>
        <w:t xml:space="preserve">a Fond na spravodlivú transformáciu </w:t>
      </w:r>
      <w:r w:rsidRPr="009064EF">
        <w:rPr>
          <w:sz w:val="16"/>
          <w:szCs w:val="20"/>
        </w:rPr>
        <w:t>nepodporujú podnik v ťažkostiach podľa vymedzenia v článku 2 bode 18 nariadenia (EÚ) č. 651/2014, pokiaľ nie je oprávnený v rámci pomoci de minimis alebo pravidiel týkajúcich sa dočasnej štátnej pomoci zavedených na r</w:t>
      </w:r>
      <w:r>
        <w:rPr>
          <w:sz w:val="16"/>
          <w:szCs w:val="20"/>
        </w:rPr>
        <w:t>iešenie mimoriadnych okolností.</w:t>
      </w:r>
    </w:p>
  </w:footnote>
  <w:footnote w:id="4">
    <w:p w14:paraId="39D4340A" w14:textId="04827EF0" w:rsidR="009E0C4D" w:rsidRDefault="009E0C4D" w:rsidP="00443686">
      <w:pPr>
        <w:pStyle w:val="Textpoznmkypodiarou"/>
      </w:pPr>
      <w:r>
        <w:rPr>
          <w:rStyle w:val="Odkaznapoznmkupodiarou"/>
        </w:rPr>
        <w:footnoteRef/>
      </w:r>
      <w:r>
        <w:t xml:space="preserve"> Ú. v. EÚ </w:t>
      </w:r>
      <w:r w:rsidRPr="00443686">
        <w:t>L 187, 26.6.2014, p. 1–78</w:t>
      </w:r>
    </w:p>
  </w:footnote>
  <w:footnote w:id="5">
    <w:p w14:paraId="3B3C8A37" w14:textId="77777777" w:rsidR="009E0C4D" w:rsidRDefault="009E0C4D" w:rsidP="009E0C4D">
      <w:pPr>
        <w:pStyle w:val="Textpoznmkypodiarou"/>
        <w:jc w:val="both"/>
      </w:pPr>
      <w:r>
        <w:rPr>
          <w:rStyle w:val="Odkaznapoznmkupodiarou"/>
        </w:rPr>
        <w:footnoteRef/>
      </w:r>
      <w:r>
        <w:t xml:space="preserve"> </w:t>
      </w:r>
      <w:r w:rsidRPr="004D72FD">
        <w:t>Smernica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v platnom znení</w:t>
      </w:r>
    </w:p>
  </w:footnote>
  <w:footnote w:id="6">
    <w:p w14:paraId="44F3E721" w14:textId="759F0592" w:rsidR="009E0C4D" w:rsidRDefault="009E0C4D">
      <w:pPr>
        <w:pStyle w:val="Textpoznmkypodiarou"/>
      </w:pPr>
      <w:r>
        <w:rPr>
          <w:rStyle w:val="Odkaznapoznmkupodiarou"/>
        </w:rPr>
        <w:footnoteRef/>
      </w:r>
      <w:r>
        <w:t xml:space="preserve"> </w:t>
      </w:r>
      <w:r w:rsidRPr="00E06969">
        <w:t>Podnikom je subjekt vykonávajúci hospodársku činnosť bez ohľadu na jeho právne postavenie a spôsob jeho financovania. Označenie konkrétneho subjektu za podnik teda plne závisí od povahy jeho činnosti. Viaceré oddelené právne subjekty, ktoré majú kontrolné podiely a iné funkčné, hospodárske a organizačné prepojenie, možno na účely uplatnenia tejto schémy pokladať za subjekty tvoriace jednu hospodársku jednotku. Táto hospodárska jednotka sa potom pokladá za relevantný podnik .</w:t>
      </w:r>
    </w:p>
  </w:footnote>
  <w:footnote w:id="7">
    <w:p w14:paraId="3B76984F" w14:textId="746F84FD" w:rsidR="009E0C4D" w:rsidRDefault="009E0C4D" w:rsidP="004D72FD">
      <w:pPr>
        <w:pStyle w:val="Textpoznmkypodiarou"/>
      </w:pPr>
      <w:r>
        <w:rPr>
          <w:rStyle w:val="Odkaznapoznmkupodiarou"/>
        </w:rPr>
        <w:footnoteRef/>
      </w:r>
      <w:r>
        <w:t xml:space="preserve"> </w:t>
      </w:r>
      <w:r w:rsidRPr="0050072D">
        <w:t>Podľa zákona</w:t>
      </w:r>
      <w:r>
        <w:t xml:space="preserve"> č. 431/2002 Z. z. </w:t>
      </w:r>
      <w:r w:rsidRPr="0050072D">
        <w:t xml:space="preserve"> účtovníctve</w:t>
      </w:r>
      <w:r>
        <w:t xml:space="preserve"> v znení neskorších </w:t>
      </w:r>
      <w:r w:rsidRPr="004D72FD">
        <w:t>predpisov</w:t>
      </w:r>
    </w:p>
  </w:footnote>
  <w:footnote w:id="8">
    <w:p w14:paraId="4FBDEA30" w14:textId="7F686C6E" w:rsidR="009E0C4D" w:rsidRDefault="009E0C4D" w:rsidP="00BB5F3D">
      <w:pPr>
        <w:pStyle w:val="Textpoznmkypodiarou"/>
      </w:pPr>
      <w:r>
        <w:rPr>
          <w:rStyle w:val="Odkaznapoznmkupodiarou"/>
        </w:rPr>
        <w:footnoteRef/>
      </w:r>
      <w:r>
        <w:t xml:space="preserve"> Podľa zákona č. 595/2003 Z. z. o dani z príjmov v znení neskorších predpisov</w:t>
      </w:r>
    </w:p>
  </w:footnote>
  <w:footnote w:id="9">
    <w:p w14:paraId="0A0CA132" w14:textId="63A3B352" w:rsidR="009E0C4D" w:rsidRDefault="009E0C4D" w:rsidP="003908E2">
      <w:pPr>
        <w:pStyle w:val="Textpoznmkypodiarou"/>
      </w:pPr>
      <w:r>
        <w:rPr>
          <w:rStyle w:val="Odkaznapoznmkupodiarou"/>
        </w:rPr>
        <w:footnoteRef/>
      </w:r>
      <w:r>
        <w:t xml:space="preserve"> </w:t>
      </w:r>
      <w:r w:rsidRPr="00B24F15">
        <w:t>Podľa § 5 ods. 1 zákona</w:t>
      </w:r>
      <w:r>
        <w:t xml:space="preserve"> č. 358/2015 Z. z. </w:t>
      </w:r>
      <w:r w:rsidRPr="003908E2">
        <w:t>o úprave niektorých vzťahov v oblasti štátnej pomoci a minimálnej pomoci a o zmene a doplnení niektorých zákonov</w:t>
      </w:r>
      <w:r>
        <w:t xml:space="preserve"> (zákon</w:t>
      </w:r>
      <w:r w:rsidRPr="00B24F15">
        <w:t xml:space="preserve"> o štátnej pomoci</w:t>
      </w:r>
      <w:r>
        <w:t>)</w:t>
      </w:r>
      <w:r w:rsidRPr="00B24F15">
        <w:t>.</w:t>
      </w:r>
    </w:p>
  </w:footnote>
  <w:footnote w:id="10">
    <w:p w14:paraId="314088C0" w14:textId="355F4DFD" w:rsidR="009E0C4D" w:rsidRDefault="009E0C4D" w:rsidP="00256662">
      <w:pPr>
        <w:pStyle w:val="Textpoznmkypodiarou"/>
      </w:pPr>
      <w:r>
        <w:rPr>
          <w:rStyle w:val="Odkaznapoznmkupodiarou"/>
        </w:rPr>
        <w:footnoteRef/>
      </w:r>
      <w:r>
        <w:t xml:space="preserve"> Príloha  č. 7 vzoru audit </w:t>
      </w:r>
      <w:proofErr w:type="spellStart"/>
      <w:r>
        <w:t>trailu</w:t>
      </w:r>
      <w:proofErr w:type="spellEnd"/>
      <w:r>
        <w:t xml:space="preserve"> Výber projektov, vzoru Manuálu procedúr riadiaceho orgánu v aktuálnej verzii zverejnenej na webovom sídle </w:t>
      </w:r>
      <w:hyperlink r:id="rId1" w:history="1">
        <w:r w:rsidRPr="006A56D0">
          <w:rPr>
            <w:rStyle w:val="Hypertextovprepojenie"/>
          </w:rPr>
          <w:t>https://eurofondy.gov.sk/dokumenty-a-publikacie/metodicke-dokumenty/</w:t>
        </w:r>
      </w:hyperlink>
      <w:r>
        <w:t xml:space="preserve">. </w:t>
      </w:r>
    </w:p>
  </w:footnote>
  <w:footnote w:id="11">
    <w:p w14:paraId="373E418D" w14:textId="4176CD63" w:rsidR="009E0C4D" w:rsidRDefault="009E0C4D">
      <w:pPr>
        <w:pStyle w:val="Textpoznmkypodiarou"/>
      </w:pPr>
      <w:r>
        <w:rPr>
          <w:rStyle w:val="Odkaznapoznmkupodiarou"/>
        </w:rPr>
        <w:footnoteRef/>
      </w:r>
      <w:r>
        <w:t xml:space="preserve"> </w:t>
      </w:r>
      <w:r w:rsidRPr="00DE5E5E">
        <w:t>Mimoriadna účtovná závierka je akceptovaná iba v prípadoch uzavretia účtovných kníh podľa §16 ods. 4, písm. c) a e) zákona o</w:t>
      </w:r>
      <w:r>
        <w:t> </w:t>
      </w:r>
      <w:r w:rsidRPr="00DE5E5E">
        <w:t>účtovníctve</w:t>
      </w:r>
      <w:r>
        <w:t>.</w:t>
      </w:r>
    </w:p>
  </w:footnote>
  <w:footnote w:id="12">
    <w:p w14:paraId="44ECB5B0" w14:textId="77777777" w:rsidR="009E0C4D" w:rsidRPr="00B97F31" w:rsidRDefault="009E0C4D" w:rsidP="008259BC">
      <w:pPr>
        <w:pStyle w:val="Textpoznmkypodiarou"/>
        <w:spacing w:line="240" w:lineRule="auto"/>
        <w:jc w:val="both"/>
        <w:rPr>
          <w:rFonts w:cstheme="minorHAnsi"/>
          <w:sz w:val="18"/>
          <w:szCs w:val="18"/>
        </w:rPr>
      </w:pPr>
      <w:r w:rsidRPr="00B97F31">
        <w:rPr>
          <w:rStyle w:val="Odkaznapoznmkupodiarou"/>
          <w:rFonts w:cstheme="minorHAnsi"/>
          <w:sz w:val="18"/>
          <w:szCs w:val="18"/>
        </w:rPr>
        <w:footnoteRef/>
      </w:r>
      <w:r w:rsidRPr="00B97F31">
        <w:rPr>
          <w:rFonts w:cstheme="minorHAnsi"/>
          <w:sz w:val="18"/>
          <w:szCs w:val="18"/>
        </w:rPr>
        <w:t xml:space="preserve"> V systéme podvojného účtovníctva je zdrojom informácií predovšetkým súvaha a výkaz ziskov a strát. </w:t>
      </w:r>
    </w:p>
  </w:footnote>
  <w:footnote w:id="13">
    <w:p w14:paraId="58E23EBE" w14:textId="6D2916B3" w:rsidR="009E0C4D" w:rsidRPr="00E348D8" w:rsidRDefault="009E0C4D" w:rsidP="003813AA">
      <w:pPr>
        <w:pStyle w:val="Textpoznmkypodiarou"/>
        <w:jc w:val="both"/>
      </w:pPr>
      <w:r w:rsidRPr="00E348D8">
        <w:rPr>
          <w:rStyle w:val="Odkaznapoznmkupodiarou"/>
        </w:rPr>
        <w:footnoteRef/>
      </w:r>
      <w:r w:rsidRPr="00E348D8">
        <w:t xml:space="preserve"> Zákon č. 7/2005 Z. z. o konkurze a reštrukturalizácii a o zmene a doplnení niektorých zákonov</w:t>
      </w:r>
      <w:r w:rsidRPr="2B5674F5">
        <w:t xml:space="preserve"> v znení neskorších predpisov</w:t>
      </w:r>
    </w:p>
  </w:footnote>
  <w:footnote w:id="14">
    <w:p w14:paraId="5FEF04B9" w14:textId="1B1DF165" w:rsidR="009E0C4D" w:rsidRPr="00E348D8" w:rsidRDefault="009E0C4D" w:rsidP="003813AA">
      <w:pPr>
        <w:pStyle w:val="Textpoznmkypodiarou"/>
        <w:jc w:val="both"/>
      </w:pPr>
      <w:r w:rsidRPr="00E348D8">
        <w:rPr>
          <w:rStyle w:val="Odkaznapoznmkupodiarou"/>
        </w:rPr>
        <w:footnoteRef/>
      </w:r>
      <w:r w:rsidRPr="00E348D8">
        <w:t xml:space="preserve"> </w:t>
      </w:r>
      <w:r>
        <w:t>Z</w:t>
      </w:r>
      <w:r w:rsidRPr="00E348D8">
        <w:t>ákon č. 5</w:t>
      </w:r>
      <w:r>
        <w:t>8</w:t>
      </w:r>
      <w:r w:rsidRPr="00E348D8">
        <w:t xml:space="preserve">3/2004 Z. z. o rozpočtových pravidlách </w:t>
      </w:r>
      <w:r w:rsidRPr="008259BC">
        <w:t xml:space="preserve">územnej samosprávy </w:t>
      </w:r>
      <w:r w:rsidRPr="00E348D8">
        <w:t>a o zmene a doplnení niektorých zákonov v znení neskorších predpisov</w:t>
      </w:r>
    </w:p>
  </w:footnote>
  <w:footnote w:id="15">
    <w:p w14:paraId="34B999D2" w14:textId="08273751" w:rsidR="009E0C4D" w:rsidRDefault="009E0C4D">
      <w:pPr>
        <w:pStyle w:val="Textpoznmkypodiarou"/>
      </w:pPr>
      <w:r>
        <w:rPr>
          <w:rStyle w:val="Odkaznapoznmkupodiarou"/>
        </w:rPr>
        <w:footnoteRef/>
      </w:r>
      <w:r>
        <w:t xml:space="preserve"> </w:t>
      </w:r>
      <w:r w:rsidRPr="00017CC7">
        <w:t>Neaplikuje sa na rozpočtové a príspevkové organizácie.</w:t>
      </w:r>
    </w:p>
  </w:footnote>
  <w:footnote w:id="16">
    <w:p w14:paraId="2CDB7AC2" w14:textId="6821A2A8" w:rsidR="009E0C4D" w:rsidRDefault="009E0C4D" w:rsidP="003813AA">
      <w:pPr>
        <w:pStyle w:val="Textpoznmkypodiarou"/>
        <w:jc w:val="both"/>
      </w:pPr>
      <w:r>
        <w:rPr>
          <w:rStyle w:val="Odkaznapoznmkupodiarou"/>
        </w:rPr>
        <w:footnoteRef/>
      </w:r>
      <w:r>
        <w:t xml:space="preserve"> </w:t>
      </w:r>
      <w:r w:rsidRPr="0099104B">
        <w:t>Ú. v. EÚ C 249, 31.7.2014, s. 1 – 28</w:t>
      </w:r>
      <w:r>
        <w:t xml:space="preserve"> v platnom znení</w:t>
      </w:r>
    </w:p>
  </w:footnote>
  <w:footnote w:id="17">
    <w:p w14:paraId="31ACD0D6" w14:textId="77777777" w:rsidR="009E0C4D" w:rsidRPr="009A419A" w:rsidRDefault="009E0C4D" w:rsidP="00017CC7">
      <w:pPr>
        <w:pStyle w:val="Textpoznmkypodiarou"/>
        <w:spacing w:line="240" w:lineRule="auto"/>
        <w:jc w:val="both"/>
        <w:rPr>
          <w:rFonts w:cstheme="minorHAnsi"/>
          <w:sz w:val="18"/>
          <w:szCs w:val="18"/>
          <w:lang w:val="en-US"/>
        </w:rPr>
      </w:pPr>
      <w:r w:rsidRPr="009A419A">
        <w:rPr>
          <w:rStyle w:val="Odkaznapoznmkupodiarou"/>
          <w:rFonts w:cstheme="minorHAnsi"/>
          <w:sz w:val="18"/>
          <w:szCs w:val="18"/>
        </w:rPr>
        <w:footnoteRef/>
      </w:r>
      <w:r w:rsidRPr="009A419A">
        <w:rPr>
          <w:rFonts w:cstheme="minorHAnsi"/>
          <w:sz w:val="18"/>
          <w:szCs w:val="18"/>
        </w:rPr>
        <w:t xml:space="preserve"> Ide o položku súvahy “zúčtovanie medzi subjektami verejnej správy”, v rámci ktorej sa prejavia aj bežné aj kapitálové transfery zo štátneho rozpočtu pre vymenované subjekty, ktoré tieto prijali na plnenie úloh štátu pri prenesenom výkone štátnej správy (vychádzajúc z usmernení MF SR v oblasti účtovníctva poskytnutých a prijatých prostriedkov štátneho rozpočtu podliehajúcich zúčtovaniu) a ktoré by v prostredí obchodných spoločností v zásade zodpovedali vlastným zdrojom financovania spoločnosti účtovaným na kapitálových fondoch, ktoré môžu byť tiež vratné. </w:t>
      </w:r>
    </w:p>
  </w:footnote>
  <w:footnote w:id="18">
    <w:p w14:paraId="2BE19C1D" w14:textId="77777777" w:rsidR="009E0C4D" w:rsidRPr="001A6304" w:rsidRDefault="009E0C4D" w:rsidP="006541C9">
      <w:pPr>
        <w:pStyle w:val="odstavecseseznamem"/>
        <w:shd w:val="clear" w:color="auto" w:fill="FFFFFF"/>
        <w:spacing w:before="0" w:beforeAutospacing="0" w:after="0" w:afterAutospacing="0"/>
        <w:ind w:left="720" w:hanging="720"/>
        <w:jc w:val="both"/>
        <w:rPr>
          <w:rFonts w:asciiTheme="minorHAnsi" w:hAnsiTheme="minorHAnsi" w:cstheme="minorHAnsi"/>
          <w:color w:val="191919"/>
          <w:sz w:val="18"/>
          <w:szCs w:val="18"/>
        </w:rPr>
      </w:pPr>
      <w:r w:rsidRPr="001A6304">
        <w:rPr>
          <w:rStyle w:val="Odkaznapoznmkupodiarou"/>
          <w:rFonts w:eastAsia="Cambria" w:cstheme="minorHAnsi"/>
          <w:sz w:val="18"/>
          <w:szCs w:val="18"/>
        </w:rPr>
        <w:footnoteRef/>
      </w:r>
      <w:r w:rsidRPr="001A6304">
        <w:rPr>
          <w:rFonts w:asciiTheme="minorHAnsi" w:hAnsiTheme="minorHAnsi" w:cstheme="minorHAnsi"/>
          <w:sz w:val="18"/>
          <w:szCs w:val="18"/>
        </w:rPr>
        <w:t xml:space="preserve"> </w:t>
      </w:r>
      <w:r w:rsidRPr="001A6304">
        <w:rPr>
          <w:rFonts w:asciiTheme="minorHAnsi" w:hAnsiTheme="minorHAnsi" w:cstheme="minorHAnsi"/>
          <w:color w:val="191919"/>
          <w:sz w:val="18"/>
          <w:szCs w:val="18"/>
        </w:rPr>
        <w:t>vznik podniku</w:t>
      </w:r>
      <w:r>
        <w:rPr>
          <w:rFonts w:asciiTheme="minorHAnsi" w:hAnsiTheme="minorHAnsi" w:cstheme="minorHAnsi"/>
          <w:color w:val="191919"/>
          <w:sz w:val="18"/>
          <w:szCs w:val="18"/>
        </w:rPr>
        <w:t xml:space="preserve"> napr.</w:t>
      </w:r>
      <w:r w:rsidRPr="001A6304">
        <w:rPr>
          <w:rFonts w:asciiTheme="minorHAnsi" w:hAnsiTheme="minorHAnsi" w:cstheme="minorHAnsi"/>
          <w:color w:val="191919"/>
          <w:sz w:val="18"/>
          <w:szCs w:val="18"/>
        </w:rPr>
        <w:t xml:space="preserve">: </w:t>
      </w:r>
    </w:p>
    <w:p w14:paraId="092ED217" w14:textId="77777777" w:rsidR="009E0C4D" w:rsidRPr="001A6304" w:rsidRDefault="009E0C4D" w:rsidP="006541C9">
      <w:pPr>
        <w:shd w:val="clear" w:color="auto" w:fill="FFFFFF"/>
        <w:spacing w:after="0" w:line="240" w:lineRule="auto"/>
        <w:ind w:left="720" w:hanging="720"/>
        <w:rPr>
          <w:rFonts w:eastAsia="Times New Roman" w:cstheme="minorHAnsi"/>
          <w:color w:val="191919"/>
          <w:sz w:val="18"/>
          <w:szCs w:val="18"/>
          <w:lang w:eastAsia="sk-SK"/>
        </w:rPr>
      </w:pPr>
      <w:r w:rsidRPr="001A6304">
        <w:rPr>
          <w:rFonts w:eastAsia="Times New Roman" w:cstheme="minorHAnsi"/>
          <w:color w:val="191919"/>
          <w:sz w:val="18"/>
          <w:szCs w:val="18"/>
          <w:lang w:eastAsia="sk-SK"/>
        </w:rPr>
        <w:t xml:space="preserve">-    dňom, ku ktorému bola spoločnosť zapísaná do obchodného registra (platí pri právnickej osobe), </w:t>
      </w:r>
    </w:p>
    <w:p w14:paraId="643E6FC1" w14:textId="77777777" w:rsidR="009E0C4D" w:rsidRPr="001A6304" w:rsidRDefault="009E0C4D" w:rsidP="006541C9">
      <w:pPr>
        <w:shd w:val="clear" w:color="auto" w:fill="FFFFFF"/>
        <w:spacing w:after="0" w:line="240" w:lineRule="auto"/>
        <w:ind w:left="720" w:hanging="720"/>
        <w:rPr>
          <w:rFonts w:cstheme="minorHAnsi"/>
          <w:sz w:val="18"/>
          <w:szCs w:val="18"/>
        </w:rPr>
      </w:pPr>
      <w:r w:rsidRPr="001A6304">
        <w:rPr>
          <w:rFonts w:eastAsia="Times New Roman" w:cstheme="minorHAnsi"/>
          <w:color w:val="191919"/>
          <w:sz w:val="18"/>
          <w:szCs w:val="18"/>
          <w:lang w:eastAsia="sk-SK"/>
        </w:rPr>
        <w:t>-    dňom ohlásenia živnosti alebo dňom doručenia koncesnej listiny (platí pri fyzickej osobe).</w:t>
      </w:r>
    </w:p>
  </w:footnote>
  <w:footnote w:id="19">
    <w:p w14:paraId="59911F6A" w14:textId="77777777" w:rsidR="009E0C4D" w:rsidRPr="001A6304" w:rsidRDefault="009E0C4D" w:rsidP="006541C9">
      <w:pPr>
        <w:pStyle w:val="Textpoznmkypodiarou"/>
        <w:spacing w:before="120" w:line="240" w:lineRule="auto"/>
        <w:jc w:val="both"/>
        <w:rPr>
          <w:sz w:val="18"/>
          <w:szCs w:val="18"/>
        </w:rPr>
      </w:pPr>
      <w:r w:rsidRPr="001A6304">
        <w:rPr>
          <w:rStyle w:val="Odkaznapoznmkupodiarou"/>
          <w:rFonts w:cstheme="minorHAnsi"/>
          <w:sz w:val="18"/>
          <w:szCs w:val="18"/>
        </w:rPr>
        <w:footnoteRef/>
      </w:r>
      <w:r w:rsidRPr="001A6304">
        <w:rPr>
          <w:rFonts w:cstheme="minorHAnsi"/>
          <w:sz w:val="18"/>
          <w:szCs w:val="18"/>
        </w:rPr>
        <w:t xml:space="preserve"> V súlade s </w:t>
      </w:r>
      <w:r w:rsidRPr="00842BC4">
        <w:rPr>
          <w:rFonts w:cstheme="minorHAnsi"/>
          <w:sz w:val="18"/>
          <w:szCs w:val="18"/>
        </w:rPr>
        <w:t>prílohou I nariadenia (EÚ) č. 651/2014</w:t>
      </w:r>
      <w:r>
        <w:rPr>
          <w:rFonts w:cstheme="minorHAnsi"/>
          <w:sz w:val="18"/>
          <w:szCs w:val="18"/>
        </w:rPr>
        <w:t>.</w:t>
      </w:r>
    </w:p>
  </w:footnote>
  <w:footnote w:id="20">
    <w:p w14:paraId="0EE07E4C" w14:textId="77777777" w:rsidR="009E0C4D" w:rsidRPr="00323D5E" w:rsidRDefault="009E0C4D" w:rsidP="00FF77B4">
      <w:pPr>
        <w:pStyle w:val="Textpoznmkypodiarou"/>
        <w:spacing w:before="120" w:line="240" w:lineRule="auto"/>
        <w:jc w:val="both"/>
        <w:rPr>
          <w:rFonts w:cstheme="minorHAnsi"/>
          <w:sz w:val="18"/>
          <w:szCs w:val="18"/>
        </w:rPr>
      </w:pPr>
      <w:r w:rsidRPr="00323D5E">
        <w:rPr>
          <w:rStyle w:val="Odkaznapoznmkupodiarou"/>
          <w:rFonts w:cstheme="minorHAnsi"/>
          <w:sz w:val="18"/>
          <w:szCs w:val="18"/>
        </w:rPr>
        <w:footnoteRef/>
      </w:r>
      <w:r w:rsidRPr="00323D5E">
        <w:rPr>
          <w:rFonts w:cstheme="minorHAnsi"/>
          <w:sz w:val="18"/>
          <w:szCs w:val="18"/>
        </w:rPr>
        <w:t xml:space="preserve"> </w:t>
      </w:r>
      <w:r w:rsidRPr="00164B5F">
        <w:rPr>
          <w:rFonts w:cstheme="minorHAnsi"/>
          <w:sz w:val="18"/>
          <w:szCs w:val="18"/>
        </w:rPr>
        <w:t>Pozri</w:t>
      </w:r>
      <w:r w:rsidRPr="00323D5E">
        <w:rPr>
          <w:rFonts w:cstheme="minorHAnsi"/>
          <w:sz w:val="18"/>
          <w:szCs w:val="18"/>
        </w:rPr>
        <w:t xml:space="preserve"> často kladené otázky k Nariadeniu</w:t>
      </w:r>
      <w:r w:rsidRPr="00323D5E">
        <w:rPr>
          <w:sz w:val="18"/>
          <w:szCs w:val="18"/>
        </w:rPr>
        <w:t xml:space="preserve"> </w:t>
      </w:r>
      <w:r w:rsidRPr="00323D5E">
        <w:rPr>
          <w:rFonts w:cstheme="minorHAnsi"/>
          <w:sz w:val="18"/>
          <w:szCs w:val="18"/>
        </w:rPr>
        <w:t>Komisie (EÚ) č. 651/2014 zo 17. júna 2014 o vyhlásení určitých kategórií pomoci za zlučiteľné s vnútorným trhom podľa článku 107 a 108 zmluvy</w:t>
      </w:r>
      <w:r>
        <w:rPr>
          <w:rFonts w:cstheme="minorHAnsi"/>
          <w:sz w:val="18"/>
          <w:szCs w:val="18"/>
        </w:rPr>
        <w:t xml:space="preserve">, </w:t>
      </w:r>
      <w:r w:rsidRPr="00323D5E">
        <w:rPr>
          <w:rFonts w:cstheme="minorHAnsi"/>
          <w:sz w:val="18"/>
          <w:szCs w:val="18"/>
        </w:rPr>
        <w:t xml:space="preserve">otázka č. 5 zverejnené na: </w:t>
      </w:r>
      <w:hyperlink r:id="rId2" w:history="1">
        <w:r w:rsidRPr="00323D5E">
          <w:rPr>
            <w:rStyle w:val="Hypertextovprepojenie"/>
            <w:rFonts w:cstheme="minorHAnsi"/>
            <w:sz w:val="18"/>
            <w:szCs w:val="18"/>
          </w:rPr>
          <w:t>http://ec.europa.eu/competition/state_aid/legislation/practical_guide_gber_en.pdf</w:t>
        </w:r>
      </w:hyperlink>
      <w:r w:rsidRPr="00323D5E">
        <w:rPr>
          <w:rStyle w:val="Hypertextovprepojenie"/>
          <w:rFonts w:cstheme="minorHAnsi"/>
          <w:sz w:val="18"/>
          <w:szCs w:val="18"/>
        </w:rPr>
        <w:t xml:space="preserve">, </w:t>
      </w:r>
      <w:r w:rsidRPr="00323D5E">
        <w:rPr>
          <w:rFonts w:cstheme="minorHAnsi"/>
          <w:sz w:val="18"/>
          <w:szCs w:val="18"/>
        </w:rPr>
        <w:t xml:space="preserve">pracovná verzia slovenského prekladu: </w:t>
      </w:r>
      <w:hyperlink r:id="rId3" w:history="1">
        <w:r w:rsidRPr="00323D5E">
          <w:rPr>
            <w:rStyle w:val="Hypertextovprepojenie"/>
            <w:rFonts w:cstheme="minorHAnsi"/>
            <w:sz w:val="18"/>
            <w:szCs w:val="18"/>
          </w:rPr>
          <w:t>http://www.statnapomoc.sk/wp-content/uploads/2015/12/FAQ-GBER-1-cast1.pdf</w:t>
        </w:r>
      </w:hyperlink>
    </w:p>
  </w:footnote>
  <w:footnote w:id="21">
    <w:p w14:paraId="360E9051" w14:textId="77777777" w:rsidR="009E0C4D" w:rsidRPr="000E6310" w:rsidRDefault="009E0C4D" w:rsidP="00BD392D">
      <w:pPr>
        <w:pStyle w:val="Textpoznmkypodiarou"/>
        <w:spacing w:line="240" w:lineRule="auto"/>
        <w:jc w:val="both"/>
        <w:rPr>
          <w:rFonts w:cstheme="minorHAnsi"/>
          <w:sz w:val="18"/>
          <w:szCs w:val="18"/>
        </w:rPr>
      </w:pPr>
      <w:r w:rsidRPr="000E6310">
        <w:rPr>
          <w:rStyle w:val="Odkaznapoznmkupodiarou"/>
          <w:rFonts w:cstheme="minorHAnsi"/>
          <w:sz w:val="18"/>
          <w:szCs w:val="18"/>
        </w:rPr>
        <w:footnoteRef/>
      </w:r>
      <w:r w:rsidRPr="000E6310">
        <w:rPr>
          <w:rFonts w:cstheme="minorHAnsi"/>
          <w:sz w:val="18"/>
          <w:szCs w:val="18"/>
        </w:rPr>
        <w:t xml:space="preserve"> Objektívne kritéria pre náhodnú vzorkovú kontrolu podmienky nebyť podnikom v ťažkostiach na úrovni hospodárskej jednotky stanovuje každý poskytovateľ samostatné pre projekty rovnakého, resp. obdobného typu. </w:t>
      </w:r>
    </w:p>
  </w:footnote>
  <w:footnote w:id="22">
    <w:p w14:paraId="1D72ACD0" w14:textId="6BE1DE14" w:rsidR="009E0C4D" w:rsidRDefault="009E0C4D" w:rsidP="009E0C4D">
      <w:pPr>
        <w:pStyle w:val="Textpoznmkypodiarou"/>
        <w:jc w:val="both"/>
      </w:pPr>
      <w:r>
        <w:rPr>
          <w:rStyle w:val="Odkaznapoznmkupodiarou"/>
        </w:rPr>
        <w:footnoteRef/>
      </w:r>
      <w:r>
        <w:t xml:space="preserve"> </w:t>
      </w:r>
      <w:r w:rsidRPr="009E0C4D">
        <w:rPr>
          <w:rFonts w:cstheme="minorHAnsi"/>
          <w:sz w:val="18"/>
          <w:szCs w:val="18"/>
        </w:rPr>
        <w:t>Skutočnosti uvádzané v tejto kapitole 6.3 ohľadne zmluvy o poskytnutí NFP sa vzťahujú primerane, pokiaľ to zákonné podmienky a obsah rozhodnutia podľa § 13 ods. 2 zákona o príspevkoch z fondov EÚ umožňujú, aj na rozhodnutie podľa § 13 ods. 2 zákona o príspevkoch z fondov EÚ.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8B019" w14:textId="77777777" w:rsidR="00AB75FC" w:rsidRDefault="00AB75F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05A50" w14:textId="77777777" w:rsidR="00AB75FC" w:rsidRDefault="00AB75FC">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53CB" w14:textId="7FB0F3AC" w:rsidR="009E0C4D" w:rsidRDefault="009E0C4D" w:rsidP="00840806">
    <w:pPr>
      <w:pStyle w:val="Hlavika"/>
      <w:tabs>
        <w:tab w:val="clear" w:pos="4536"/>
        <w:tab w:val="clear" w:pos="9072"/>
        <w:tab w:val="left" w:pos="2010"/>
      </w:tabs>
      <w:jc w:val="right"/>
    </w:pPr>
    <w:r>
      <w:rPr>
        <w:noProof/>
        <w:lang w:eastAsia="sk-SK"/>
      </w:rPr>
      <w:drawing>
        <wp:inline distT="0" distB="0" distL="0" distR="0" wp14:anchorId="4281031F" wp14:editId="6A619CFE">
          <wp:extent cx="5759450" cy="518160"/>
          <wp:effectExtent l="0" t="0" r="0" b="0"/>
          <wp:docPr id="1" name="Obrázok 1" descr="C:\Users\skalicka\Pictures\loga PSK\loga PSK_MHSR_EU_horizont_financovany_21.7.jpg"/>
          <wp:cNvGraphicFramePr/>
          <a:graphic xmlns:a="http://schemas.openxmlformats.org/drawingml/2006/main">
            <a:graphicData uri="http://schemas.openxmlformats.org/drawingml/2006/picture">
              <pic:pic xmlns:pic="http://schemas.openxmlformats.org/drawingml/2006/picture">
                <pic:nvPicPr>
                  <pic:cNvPr id="2" name="Obrázok 2" descr="C:\Users\skalicka\Pictures\loga PSK\loga PSK_MHSR_EU_horizont_financovany_21.7.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1816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E20A6" w14:textId="77777777" w:rsidR="009E0C4D" w:rsidRDefault="009E0C4D" w:rsidP="0054016E">
    <w:pPr>
      <w:pStyle w:val="Hlavika"/>
      <w:jc w:val="right"/>
    </w:pPr>
    <w:r>
      <w:t>Príloha č.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F67"/>
    <w:multiLevelType w:val="hybridMultilevel"/>
    <w:tmpl w:val="9948D36A"/>
    <w:lvl w:ilvl="0" w:tplc="041B0017">
      <w:start w:val="1"/>
      <w:numFmt w:val="low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0D2597"/>
    <w:multiLevelType w:val="multilevel"/>
    <w:tmpl w:val="DAFC7502"/>
    <w:lvl w:ilvl="0">
      <w:start w:val="1"/>
      <w:numFmt w:val="decimal"/>
      <w:pStyle w:val="Nadpis1"/>
      <w:lvlText w:val="%1."/>
      <w:lvlJc w:val="left"/>
      <w:pPr>
        <w:ind w:left="360"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6A2CBE"/>
    <w:multiLevelType w:val="hybridMultilevel"/>
    <w:tmpl w:val="A6FEEB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96305A"/>
    <w:multiLevelType w:val="hybridMultilevel"/>
    <w:tmpl w:val="C46E68C0"/>
    <w:lvl w:ilvl="0" w:tplc="FFFFFFFF">
      <w:start w:val="1"/>
      <w:numFmt w:val="decimal"/>
      <w:pStyle w:val="schmapomoci"/>
      <w:lvlText w:val="%1."/>
      <w:lvlJc w:val="left"/>
      <w:pPr>
        <w:ind w:left="360" w:hanging="360"/>
      </w:pPr>
    </w:lvl>
    <w:lvl w:ilvl="1" w:tplc="27286D62">
      <w:start w:val="1"/>
      <w:numFmt w:val="lowerLetter"/>
      <w:lvlText w:val="%2."/>
      <w:lvlJc w:val="left"/>
      <w:pPr>
        <w:ind w:left="1070" w:hanging="360"/>
      </w:pPr>
      <w:rPr>
        <w:b w:val="0"/>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08DF77B6"/>
    <w:multiLevelType w:val="hybridMultilevel"/>
    <w:tmpl w:val="B0BCC152"/>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5" w15:restartNumberingAfterBreak="0">
    <w:nsid w:val="08E037D6"/>
    <w:multiLevelType w:val="hybridMultilevel"/>
    <w:tmpl w:val="B58648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E0655D"/>
    <w:multiLevelType w:val="hybridMultilevel"/>
    <w:tmpl w:val="51081DA2"/>
    <w:lvl w:ilvl="0" w:tplc="3974A5C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F5268C1"/>
    <w:multiLevelType w:val="hybridMultilevel"/>
    <w:tmpl w:val="E73EB1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FE570A9"/>
    <w:multiLevelType w:val="multilevel"/>
    <w:tmpl w:val="9CFABCF6"/>
    <w:lvl w:ilvl="0">
      <w:start w:val="1"/>
      <w:numFmt w:val="decimal"/>
      <w:suff w:val="space"/>
      <w:lvlText w:val="%1."/>
      <w:lvlJc w:val="left"/>
      <w:pPr>
        <w:ind w:left="57" w:hanging="57"/>
      </w:pPr>
      <w:rPr>
        <w:rFonts w:hint="default"/>
        <w:sz w:val="28"/>
        <w:szCs w:val="28"/>
      </w:rPr>
    </w:lvl>
    <w:lvl w:ilvl="1">
      <w:start w:val="1"/>
      <w:numFmt w:val="decimal"/>
      <w:suff w:val="space"/>
      <w:lvlText w:val="%1.%2"/>
      <w:lvlJc w:val="left"/>
      <w:pPr>
        <w:ind w:left="114" w:hanging="57"/>
      </w:pPr>
      <w:rPr>
        <w:rFonts w:hint="default"/>
      </w:rPr>
    </w:lvl>
    <w:lvl w:ilvl="2">
      <w:start w:val="1"/>
      <w:numFmt w:val="decimal"/>
      <w:suff w:val="space"/>
      <w:lvlText w:val="%1.%2.%3"/>
      <w:lvlJc w:val="left"/>
      <w:pPr>
        <w:ind w:left="171" w:hanging="171"/>
      </w:pPr>
      <w:rPr>
        <w:rFonts w:hint="default"/>
      </w:rPr>
    </w:lvl>
    <w:lvl w:ilvl="3">
      <w:start w:val="1"/>
      <w:numFmt w:val="decimal"/>
      <w:pStyle w:val="Nadpis4"/>
      <w:suff w:val="space"/>
      <w:lvlText w:val="%1.%2.%3.%4"/>
      <w:lvlJc w:val="left"/>
      <w:pPr>
        <w:ind w:left="851" w:hanging="851"/>
      </w:pPr>
      <w:rPr>
        <w:rFonts w:hint="default"/>
        <w:kern w:val="20"/>
        <w:u w:val="single"/>
      </w:rPr>
    </w:lvl>
    <w:lvl w:ilvl="4">
      <w:start w:val="1"/>
      <w:numFmt w:val="decimal"/>
      <w:pStyle w:val="Nadpis5"/>
      <w:suff w:val="space"/>
      <w:lvlText w:val="%1.%2.%3.%4.%5"/>
      <w:lvlJc w:val="left"/>
      <w:pPr>
        <w:ind w:left="908" w:hanging="57"/>
      </w:pPr>
      <w:rPr>
        <w:rFonts w:hint="default"/>
      </w:rPr>
    </w:lvl>
    <w:lvl w:ilvl="5">
      <w:start w:val="1"/>
      <w:numFmt w:val="decimal"/>
      <w:pStyle w:val="Nadpis6"/>
      <w:lvlText w:val="%1.%2.%3.%4.%5.%6"/>
      <w:lvlJc w:val="left"/>
      <w:pPr>
        <w:ind w:left="342" w:hanging="57"/>
      </w:pPr>
      <w:rPr>
        <w:rFonts w:hint="default"/>
      </w:rPr>
    </w:lvl>
    <w:lvl w:ilvl="6">
      <w:start w:val="1"/>
      <w:numFmt w:val="decimal"/>
      <w:pStyle w:val="Nadpis7"/>
      <w:lvlText w:val="%1.%2.%3.%4.%5.%6.%7"/>
      <w:lvlJc w:val="left"/>
      <w:pPr>
        <w:ind w:left="399" w:hanging="57"/>
      </w:pPr>
      <w:rPr>
        <w:rFonts w:hint="default"/>
      </w:rPr>
    </w:lvl>
    <w:lvl w:ilvl="7">
      <w:start w:val="1"/>
      <w:numFmt w:val="decimal"/>
      <w:pStyle w:val="Nadpis8"/>
      <w:lvlText w:val="%1.%2.%3.%4.%5.%6.%7.%8"/>
      <w:lvlJc w:val="left"/>
      <w:pPr>
        <w:ind w:left="456" w:hanging="57"/>
      </w:pPr>
      <w:rPr>
        <w:rFonts w:hint="default"/>
      </w:rPr>
    </w:lvl>
    <w:lvl w:ilvl="8">
      <w:start w:val="1"/>
      <w:numFmt w:val="decimal"/>
      <w:pStyle w:val="Nadpis9"/>
      <w:lvlText w:val="%1.%2.%3.%4.%5.%6.%7.%8.%9"/>
      <w:lvlJc w:val="left"/>
      <w:pPr>
        <w:ind w:left="513" w:hanging="57"/>
      </w:pPr>
      <w:rPr>
        <w:rFonts w:hint="default"/>
      </w:rPr>
    </w:lvl>
  </w:abstractNum>
  <w:abstractNum w:abstractNumId="9" w15:restartNumberingAfterBreak="0">
    <w:nsid w:val="18287256"/>
    <w:multiLevelType w:val="hybridMultilevel"/>
    <w:tmpl w:val="45A428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8AB183B"/>
    <w:multiLevelType w:val="hybridMultilevel"/>
    <w:tmpl w:val="A94A0D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A9D2E73"/>
    <w:multiLevelType w:val="hybridMultilevel"/>
    <w:tmpl w:val="72B632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6A06F71"/>
    <w:multiLevelType w:val="hybridMultilevel"/>
    <w:tmpl w:val="5DFE46A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B42C42"/>
    <w:multiLevelType w:val="hybridMultilevel"/>
    <w:tmpl w:val="7FC2A5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3CD0771"/>
    <w:multiLevelType w:val="hybridMultilevel"/>
    <w:tmpl w:val="CED6600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4BD7ADB"/>
    <w:multiLevelType w:val="hybridMultilevel"/>
    <w:tmpl w:val="09543BFE"/>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9681415"/>
    <w:multiLevelType w:val="hybridMultilevel"/>
    <w:tmpl w:val="F4DE7F80"/>
    <w:lvl w:ilvl="0" w:tplc="F7401E72">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CE3EA704">
      <w:start w:val="1"/>
      <w:numFmt w:val="lowerLetter"/>
      <w:lvlText w:val="%3)"/>
      <w:lvlJc w:val="left"/>
      <w:pPr>
        <w:ind w:left="2340" w:hanging="36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A256D90"/>
    <w:multiLevelType w:val="multilevel"/>
    <w:tmpl w:val="1114A9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7C1D9A"/>
    <w:multiLevelType w:val="hybridMultilevel"/>
    <w:tmpl w:val="C5E4571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D120FE7"/>
    <w:multiLevelType w:val="hybridMultilevel"/>
    <w:tmpl w:val="6FD0EE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DA529E2"/>
    <w:multiLevelType w:val="hybridMultilevel"/>
    <w:tmpl w:val="1F683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FB26289"/>
    <w:multiLevelType w:val="hybridMultilevel"/>
    <w:tmpl w:val="29CAAC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367347"/>
    <w:multiLevelType w:val="hybridMultilevel"/>
    <w:tmpl w:val="6DF6E9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1B14461"/>
    <w:multiLevelType w:val="hybridMultilevel"/>
    <w:tmpl w:val="DFD232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0277E11"/>
    <w:multiLevelType w:val="hybridMultilevel"/>
    <w:tmpl w:val="6AC45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3C13F68"/>
    <w:multiLevelType w:val="hybridMultilevel"/>
    <w:tmpl w:val="52C4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580293A"/>
    <w:multiLevelType w:val="hybridMultilevel"/>
    <w:tmpl w:val="C32E6FF8"/>
    <w:lvl w:ilvl="0" w:tplc="041B0015">
      <w:start w:val="1"/>
      <w:numFmt w:val="upp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F110739C">
      <w:start w:val="1"/>
      <w:numFmt w:val="lowerRoman"/>
      <w:lvlText w:val="(%4)"/>
      <w:lvlJc w:val="left"/>
      <w:pPr>
        <w:ind w:left="2880" w:hanging="360"/>
      </w:pPr>
      <w:rPr>
        <w:rFonts w:asciiTheme="minorHAnsi" w:hAnsiTheme="minorHAnsi" w:cstheme="minorHAnsi"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815377"/>
    <w:multiLevelType w:val="hybridMultilevel"/>
    <w:tmpl w:val="A91877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6743ACD"/>
    <w:multiLevelType w:val="hybridMultilevel"/>
    <w:tmpl w:val="33768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04E1DED"/>
    <w:multiLevelType w:val="hybridMultilevel"/>
    <w:tmpl w:val="66A43664"/>
    <w:lvl w:ilvl="0" w:tplc="041B0015">
      <w:start w:val="1"/>
      <w:numFmt w:val="upperLetter"/>
      <w:lvlText w:val="%1."/>
      <w:lvlJc w:val="left"/>
      <w:pPr>
        <w:ind w:left="720" w:hanging="360"/>
      </w:pPr>
    </w:lvl>
    <w:lvl w:ilvl="1" w:tplc="041B0013">
      <w:start w:val="1"/>
      <w:numFmt w:val="upperRoman"/>
      <w:lvlText w:val="%2."/>
      <w:lvlJc w:val="righ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C93159"/>
    <w:multiLevelType w:val="hybridMultilevel"/>
    <w:tmpl w:val="9BC08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813373F"/>
    <w:multiLevelType w:val="hybridMultilevel"/>
    <w:tmpl w:val="46CC79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D200660"/>
    <w:multiLevelType w:val="hybridMultilevel"/>
    <w:tmpl w:val="931052F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EB7153E"/>
    <w:multiLevelType w:val="hybridMultilevel"/>
    <w:tmpl w:val="37484C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F8D16D7"/>
    <w:multiLevelType w:val="hybridMultilevel"/>
    <w:tmpl w:val="F244B3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0"/>
  </w:num>
  <w:num w:numId="4">
    <w:abstractNumId w:val="31"/>
  </w:num>
  <w:num w:numId="5">
    <w:abstractNumId w:val="28"/>
  </w:num>
  <w:num w:numId="6">
    <w:abstractNumId w:val="12"/>
  </w:num>
  <w:num w:numId="7">
    <w:abstractNumId w:val="18"/>
  </w:num>
  <w:num w:numId="8">
    <w:abstractNumId w:val="24"/>
  </w:num>
  <w:num w:numId="9">
    <w:abstractNumId w:val="9"/>
  </w:num>
  <w:num w:numId="10">
    <w:abstractNumId w:val="11"/>
  </w:num>
  <w:num w:numId="11">
    <w:abstractNumId w:val="19"/>
  </w:num>
  <w:num w:numId="12">
    <w:abstractNumId w:val="33"/>
  </w:num>
  <w:num w:numId="13">
    <w:abstractNumId w:val="15"/>
  </w:num>
  <w:num w:numId="14">
    <w:abstractNumId w:val="29"/>
  </w:num>
  <w:num w:numId="15">
    <w:abstractNumId w:val="6"/>
  </w:num>
  <w:num w:numId="16">
    <w:abstractNumId w:val="7"/>
  </w:num>
  <w:num w:numId="17">
    <w:abstractNumId w:val="10"/>
  </w:num>
  <w:num w:numId="18">
    <w:abstractNumId w:val="5"/>
  </w:num>
  <w:num w:numId="19">
    <w:abstractNumId w:val="17"/>
  </w:num>
  <w:num w:numId="20">
    <w:abstractNumId w:val="1"/>
  </w:num>
  <w:num w:numId="21">
    <w:abstractNumId w:val="27"/>
  </w:num>
  <w:num w:numId="22">
    <w:abstractNumId w:val="20"/>
  </w:num>
  <w:num w:numId="23">
    <w:abstractNumId w:val="32"/>
  </w:num>
  <w:num w:numId="24">
    <w:abstractNumId w:val="34"/>
  </w:num>
  <w:num w:numId="25">
    <w:abstractNumId w:val="13"/>
  </w:num>
  <w:num w:numId="26">
    <w:abstractNumId w:val="23"/>
  </w:num>
  <w:num w:numId="27">
    <w:abstractNumId w:val="22"/>
  </w:num>
  <w:num w:numId="28">
    <w:abstractNumId w:val="21"/>
  </w:num>
  <w:num w:numId="29">
    <w:abstractNumId w:val="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0"/>
  </w:num>
  <w:num w:numId="34">
    <w:abstractNumId w:val="25"/>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1NDM2NDc3MDYDMpR0lIJTi4sz8/NACgxNagF2LHdILQAAAA=="/>
  </w:docVars>
  <w:rsids>
    <w:rsidRoot w:val="0054016E"/>
    <w:rsid w:val="00017CC7"/>
    <w:rsid w:val="00033E3B"/>
    <w:rsid w:val="000379A2"/>
    <w:rsid w:val="00047378"/>
    <w:rsid w:val="00053C7F"/>
    <w:rsid w:val="0006033F"/>
    <w:rsid w:val="00067706"/>
    <w:rsid w:val="000A5A19"/>
    <w:rsid w:val="000C3626"/>
    <w:rsid w:val="000C3EF6"/>
    <w:rsid w:val="000D0368"/>
    <w:rsid w:val="000E2317"/>
    <w:rsid w:val="000E6D90"/>
    <w:rsid w:val="00100ACF"/>
    <w:rsid w:val="00103E0E"/>
    <w:rsid w:val="001102B1"/>
    <w:rsid w:val="00111FFC"/>
    <w:rsid w:val="00153AB8"/>
    <w:rsid w:val="001853D6"/>
    <w:rsid w:val="00193F3D"/>
    <w:rsid w:val="001B7B91"/>
    <w:rsid w:val="001C1F6D"/>
    <w:rsid w:val="001E2439"/>
    <w:rsid w:val="001E79CB"/>
    <w:rsid w:val="0020623D"/>
    <w:rsid w:val="0021319F"/>
    <w:rsid w:val="00215894"/>
    <w:rsid w:val="00231885"/>
    <w:rsid w:val="002436FE"/>
    <w:rsid w:val="00256662"/>
    <w:rsid w:val="002570D7"/>
    <w:rsid w:val="00262CA9"/>
    <w:rsid w:val="00283CC8"/>
    <w:rsid w:val="00290B26"/>
    <w:rsid w:val="00290FE5"/>
    <w:rsid w:val="002A5A12"/>
    <w:rsid w:val="002B622B"/>
    <w:rsid w:val="002C33D9"/>
    <w:rsid w:val="002C55F3"/>
    <w:rsid w:val="002C5D18"/>
    <w:rsid w:val="002F00B6"/>
    <w:rsid w:val="0031377E"/>
    <w:rsid w:val="00357222"/>
    <w:rsid w:val="00361326"/>
    <w:rsid w:val="00375341"/>
    <w:rsid w:val="003813AA"/>
    <w:rsid w:val="00384A7A"/>
    <w:rsid w:val="003863AE"/>
    <w:rsid w:val="003908E2"/>
    <w:rsid w:val="0039108D"/>
    <w:rsid w:val="003B01AE"/>
    <w:rsid w:val="003E26A9"/>
    <w:rsid w:val="003E4922"/>
    <w:rsid w:val="003E5232"/>
    <w:rsid w:val="003E59E6"/>
    <w:rsid w:val="003F6813"/>
    <w:rsid w:val="00407263"/>
    <w:rsid w:val="0040782E"/>
    <w:rsid w:val="00411371"/>
    <w:rsid w:val="00421E85"/>
    <w:rsid w:val="00430254"/>
    <w:rsid w:val="00443686"/>
    <w:rsid w:val="004516F6"/>
    <w:rsid w:val="0046085D"/>
    <w:rsid w:val="00460F05"/>
    <w:rsid w:val="0047355F"/>
    <w:rsid w:val="004925D6"/>
    <w:rsid w:val="004A0763"/>
    <w:rsid w:val="004C0F15"/>
    <w:rsid w:val="004C2246"/>
    <w:rsid w:val="004D72FD"/>
    <w:rsid w:val="004E2822"/>
    <w:rsid w:val="004E73F2"/>
    <w:rsid w:val="0050072D"/>
    <w:rsid w:val="00514315"/>
    <w:rsid w:val="00517199"/>
    <w:rsid w:val="00532141"/>
    <w:rsid w:val="005372E1"/>
    <w:rsid w:val="0054009F"/>
    <w:rsid w:val="0054016E"/>
    <w:rsid w:val="00542F4D"/>
    <w:rsid w:val="00543526"/>
    <w:rsid w:val="00556E0C"/>
    <w:rsid w:val="00583DA4"/>
    <w:rsid w:val="00591F35"/>
    <w:rsid w:val="005B694F"/>
    <w:rsid w:val="005C4063"/>
    <w:rsid w:val="005C5C03"/>
    <w:rsid w:val="005D4190"/>
    <w:rsid w:val="005D7070"/>
    <w:rsid w:val="005F222A"/>
    <w:rsid w:val="005F4029"/>
    <w:rsid w:val="00630912"/>
    <w:rsid w:val="00640EE4"/>
    <w:rsid w:val="006440DD"/>
    <w:rsid w:val="00650A1D"/>
    <w:rsid w:val="00651E9E"/>
    <w:rsid w:val="006541C9"/>
    <w:rsid w:val="0068529F"/>
    <w:rsid w:val="00691A34"/>
    <w:rsid w:val="006A2AC6"/>
    <w:rsid w:val="006A7E09"/>
    <w:rsid w:val="006B29BD"/>
    <w:rsid w:val="006B6774"/>
    <w:rsid w:val="006D0E97"/>
    <w:rsid w:val="006D46AD"/>
    <w:rsid w:val="006F581E"/>
    <w:rsid w:val="006F79A2"/>
    <w:rsid w:val="00713CBD"/>
    <w:rsid w:val="007151D2"/>
    <w:rsid w:val="00721528"/>
    <w:rsid w:val="00741213"/>
    <w:rsid w:val="00754E96"/>
    <w:rsid w:val="00755F3B"/>
    <w:rsid w:val="00760A7F"/>
    <w:rsid w:val="007A35F5"/>
    <w:rsid w:val="007A440F"/>
    <w:rsid w:val="007C1EB7"/>
    <w:rsid w:val="007D6FFC"/>
    <w:rsid w:val="007F0E1F"/>
    <w:rsid w:val="008259BC"/>
    <w:rsid w:val="00830BE9"/>
    <w:rsid w:val="00831E92"/>
    <w:rsid w:val="00836751"/>
    <w:rsid w:val="00840806"/>
    <w:rsid w:val="00850EDC"/>
    <w:rsid w:val="00873901"/>
    <w:rsid w:val="00894527"/>
    <w:rsid w:val="008A2A81"/>
    <w:rsid w:val="008A3BB0"/>
    <w:rsid w:val="008B5F51"/>
    <w:rsid w:val="009064EF"/>
    <w:rsid w:val="0092533B"/>
    <w:rsid w:val="009260F3"/>
    <w:rsid w:val="00946DEF"/>
    <w:rsid w:val="00961196"/>
    <w:rsid w:val="0097362F"/>
    <w:rsid w:val="00981708"/>
    <w:rsid w:val="00985D47"/>
    <w:rsid w:val="009C3403"/>
    <w:rsid w:val="009D1851"/>
    <w:rsid w:val="009D7CBA"/>
    <w:rsid w:val="009E0C4D"/>
    <w:rsid w:val="009E0CBB"/>
    <w:rsid w:val="009F3849"/>
    <w:rsid w:val="00A00101"/>
    <w:rsid w:val="00A11102"/>
    <w:rsid w:val="00A15334"/>
    <w:rsid w:val="00A172FA"/>
    <w:rsid w:val="00A173E4"/>
    <w:rsid w:val="00A272B6"/>
    <w:rsid w:val="00A278A0"/>
    <w:rsid w:val="00A62F37"/>
    <w:rsid w:val="00A73D80"/>
    <w:rsid w:val="00A93252"/>
    <w:rsid w:val="00A95835"/>
    <w:rsid w:val="00AB602A"/>
    <w:rsid w:val="00AB75FC"/>
    <w:rsid w:val="00AC4611"/>
    <w:rsid w:val="00AF73AD"/>
    <w:rsid w:val="00B24F15"/>
    <w:rsid w:val="00B31829"/>
    <w:rsid w:val="00B40C31"/>
    <w:rsid w:val="00B4592E"/>
    <w:rsid w:val="00B46D18"/>
    <w:rsid w:val="00B52A9B"/>
    <w:rsid w:val="00B65CF0"/>
    <w:rsid w:val="00B8066B"/>
    <w:rsid w:val="00B95AB8"/>
    <w:rsid w:val="00BA69D6"/>
    <w:rsid w:val="00BB332F"/>
    <w:rsid w:val="00BB3684"/>
    <w:rsid w:val="00BB5F3D"/>
    <w:rsid w:val="00BB6FDA"/>
    <w:rsid w:val="00BD392D"/>
    <w:rsid w:val="00C04B7B"/>
    <w:rsid w:val="00C15088"/>
    <w:rsid w:val="00C1753B"/>
    <w:rsid w:val="00C24E31"/>
    <w:rsid w:val="00C2685E"/>
    <w:rsid w:val="00C31604"/>
    <w:rsid w:val="00C3275B"/>
    <w:rsid w:val="00C427F1"/>
    <w:rsid w:val="00C513BE"/>
    <w:rsid w:val="00C656F8"/>
    <w:rsid w:val="00C67192"/>
    <w:rsid w:val="00C82A97"/>
    <w:rsid w:val="00CD1DCD"/>
    <w:rsid w:val="00CD75A3"/>
    <w:rsid w:val="00CF4C48"/>
    <w:rsid w:val="00D0591A"/>
    <w:rsid w:val="00D10991"/>
    <w:rsid w:val="00D22942"/>
    <w:rsid w:val="00D357FB"/>
    <w:rsid w:val="00D3607F"/>
    <w:rsid w:val="00D37FBB"/>
    <w:rsid w:val="00D70496"/>
    <w:rsid w:val="00DA4B60"/>
    <w:rsid w:val="00DB045C"/>
    <w:rsid w:val="00DC5DF7"/>
    <w:rsid w:val="00DD5121"/>
    <w:rsid w:val="00DD69CF"/>
    <w:rsid w:val="00DD7563"/>
    <w:rsid w:val="00DE5E5E"/>
    <w:rsid w:val="00DE6A31"/>
    <w:rsid w:val="00E01EB4"/>
    <w:rsid w:val="00E06969"/>
    <w:rsid w:val="00E1264D"/>
    <w:rsid w:val="00E348D8"/>
    <w:rsid w:val="00E34FB7"/>
    <w:rsid w:val="00E77D99"/>
    <w:rsid w:val="00E811CB"/>
    <w:rsid w:val="00E9043E"/>
    <w:rsid w:val="00EA0F35"/>
    <w:rsid w:val="00EC2AD3"/>
    <w:rsid w:val="00F30068"/>
    <w:rsid w:val="00F42661"/>
    <w:rsid w:val="00F57F5D"/>
    <w:rsid w:val="00F6158E"/>
    <w:rsid w:val="00F80B1C"/>
    <w:rsid w:val="00F848E7"/>
    <w:rsid w:val="00F95BFE"/>
    <w:rsid w:val="00FA6EC3"/>
    <w:rsid w:val="00FB0F86"/>
    <w:rsid w:val="00FB1DC8"/>
    <w:rsid w:val="00FD7107"/>
    <w:rsid w:val="00FF77B4"/>
    <w:rsid w:val="01EB2249"/>
    <w:rsid w:val="0634D370"/>
    <w:rsid w:val="1146434A"/>
    <w:rsid w:val="231CE1D2"/>
    <w:rsid w:val="25ED9205"/>
    <w:rsid w:val="2B5674F5"/>
    <w:rsid w:val="2E9EBA11"/>
    <w:rsid w:val="3B831063"/>
    <w:rsid w:val="3D97C5A1"/>
    <w:rsid w:val="42DD1364"/>
    <w:rsid w:val="48326ADA"/>
    <w:rsid w:val="4D55B9DA"/>
    <w:rsid w:val="53C68A4B"/>
    <w:rsid w:val="54F7C585"/>
    <w:rsid w:val="560C26EB"/>
    <w:rsid w:val="579AA4BA"/>
    <w:rsid w:val="57A7F74C"/>
    <w:rsid w:val="64E40711"/>
    <w:rsid w:val="658F2059"/>
    <w:rsid w:val="6A5F7266"/>
    <w:rsid w:val="74BD8408"/>
    <w:rsid w:val="762659C4"/>
    <w:rsid w:val="7C8CF0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86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E6A31"/>
    <w:pPr>
      <w:jc w:val="both"/>
    </w:pPr>
  </w:style>
  <w:style w:type="paragraph" w:styleId="Nadpis1">
    <w:name w:val="heading 1"/>
    <w:basedOn w:val="Bezriadkovania"/>
    <w:next w:val="Normlny"/>
    <w:link w:val="Nadpis1Char"/>
    <w:autoRedefine/>
    <w:uiPriority w:val="9"/>
    <w:qFormat/>
    <w:rsid w:val="00836751"/>
    <w:pPr>
      <w:numPr>
        <w:numId w:val="20"/>
      </w:numPr>
      <w:outlineLvl w:val="0"/>
    </w:pPr>
    <w:rPr>
      <w:b/>
      <w:caps/>
    </w:rPr>
  </w:style>
  <w:style w:type="paragraph" w:styleId="Nadpis2">
    <w:name w:val="heading 2"/>
    <w:basedOn w:val="Bezriadkovania"/>
    <w:next w:val="Normlny"/>
    <w:link w:val="Nadpis2Char"/>
    <w:uiPriority w:val="9"/>
    <w:unhideWhenUsed/>
    <w:qFormat/>
    <w:rsid w:val="004E2822"/>
    <w:pPr>
      <w:numPr>
        <w:ilvl w:val="1"/>
        <w:numId w:val="20"/>
      </w:numPr>
      <w:outlineLvl w:val="1"/>
    </w:pPr>
    <w:rPr>
      <w:b/>
      <w:caps/>
    </w:rPr>
  </w:style>
  <w:style w:type="paragraph" w:styleId="Nadpis3">
    <w:name w:val="heading 3"/>
    <w:basedOn w:val="Bezriadkovania"/>
    <w:next w:val="Normlny"/>
    <w:link w:val="Nadpis3Char"/>
    <w:uiPriority w:val="9"/>
    <w:unhideWhenUsed/>
    <w:qFormat/>
    <w:rsid w:val="00283CC8"/>
    <w:pPr>
      <w:numPr>
        <w:ilvl w:val="2"/>
        <w:numId w:val="20"/>
      </w:numPr>
      <w:outlineLvl w:val="2"/>
    </w:pPr>
    <w:rPr>
      <w:b/>
    </w:rPr>
  </w:style>
  <w:style w:type="paragraph" w:styleId="Nadpis4">
    <w:name w:val="heading 4"/>
    <w:basedOn w:val="Normlny"/>
    <w:next w:val="Normlny"/>
    <w:link w:val="Nadpis4Char"/>
    <w:uiPriority w:val="9"/>
    <w:unhideWhenUsed/>
    <w:qFormat/>
    <w:rsid w:val="00840806"/>
    <w:pPr>
      <w:keepNext/>
      <w:keepLines/>
      <w:numPr>
        <w:ilvl w:val="3"/>
        <w:numId w:val="1"/>
      </w:numPr>
      <w:spacing w:before="200"/>
      <w:jc w:val="left"/>
      <w:outlineLvl w:val="3"/>
    </w:pPr>
    <w:rPr>
      <w:rFonts w:eastAsia="Cambria" w:cstheme="majorBidi"/>
      <w:bCs/>
      <w:iCs/>
      <w:color w:val="5B9BD5" w:themeColor="accent1"/>
      <w:u w:val="single"/>
    </w:rPr>
  </w:style>
  <w:style w:type="paragraph" w:styleId="Nadpis5">
    <w:name w:val="heading 5"/>
    <w:basedOn w:val="Normlny"/>
    <w:next w:val="Normlny"/>
    <w:link w:val="Nadpis5Char"/>
    <w:autoRedefine/>
    <w:uiPriority w:val="9"/>
    <w:unhideWhenUsed/>
    <w:qFormat/>
    <w:rsid w:val="00840806"/>
    <w:pPr>
      <w:keepNext/>
      <w:keepLines/>
      <w:numPr>
        <w:ilvl w:val="4"/>
        <w:numId w:val="1"/>
      </w:numPr>
      <w:spacing w:before="200"/>
      <w:ind w:left="285"/>
      <w:jc w:val="left"/>
      <w:outlineLvl w:val="4"/>
    </w:pPr>
    <w:rPr>
      <w:rFonts w:eastAsiaTheme="majorEastAsia" w:cstheme="majorBidi"/>
      <w:color w:val="006EB6"/>
    </w:rPr>
  </w:style>
  <w:style w:type="paragraph" w:styleId="Nadpis6">
    <w:name w:val="heading 6"/>
    <w:basedOn w:val="Normlny"/>
    <w:next w:val="Normlny"/>
    <w:link w:val="Nadpis6Char"/>
    <w:uiPriority w:val="9"/>
    <w:unhideWhenUsed/>
    <w:qFormat/>
    <w:rsid w:val="00840806"/>
    <w:pPr>
      <w:keepNext/>
      <w:keepLines/>
      <w:numPr>
        <w:ilvl w:val="5"/>
        <w:numId w:val="1"/>
      </w:numPr>
      <w:spacing w:before="200"/>
      <w:jc w:val="left"/>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unhideWhenUsed/>
    <w:qFormat/>
    <w:rsid w:val="00840806"/>
    <w:pPr>
      <w:keepNext/>
      <w:keepLines/>
      <w:numPr>
        <w:ilvl w:val="6"/>
        <w:numId w:val="1"/>
      </w:numPr>
      <w:spacing w:before="200"/>
      <w:jc w:val="left"/>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unhideWhenUsed/>
    <w:qFormat/>
    <w:rsid w:val="00840806"/>
    <w:pPr>
      <w:keepNext/>
      <w:keepLines/>
      <w:numPr>
        <w:ilvl w:val="7"/>
        <w:numId w:val="1"/>
      </w:numPr>
      <w:spacing w:before="200"/>
      <w:jc w:val="left"/>
      <w:outlineLvl w:val="7"/>
    </w:pPr>
    <w:rPr>
      <w:rFonts w:asciiTheme="majorHAnsi" w:eastAsiaTheme="majorEastAsia" w:hAnsiTheme="majorHAnsi" w:cstheme="majorBidi"/>
      <w:color w:val="404040" w:themeColor="text1" w:themeTint="BF"/>
      <w:szCs w:val="20"/>
    </w:rPr>
  </w:style>
  <w:style w:type="paragraph" w:styleId="Nadpis9">
    <w:name w:val="heading 9"/>
    <w:basedOn w:val="Normlny"/>
    <w:next w:val="Normlny"/>
    <w:link w:val="Nadpis9Char"/>
    <w:uiPriority w:val="9"/>
    <w:unhideWhenUsed/>
    <w:qFormat/>
    <w:rsid w:val="00840806"/>
    <w:pPr>
      <w:keepNext/>
      <w:keepLines/>
      <w:numPr>
        <w:ilvl w:val="8"/>
        <w:numId w:val="1"/>
      </w:numPr>
      <w:spacing w:before="200"/>
      <w:jc w:val="left"/>
      <w:outlineLvl w:val="8"/>
    </w:pPr>
    <w:rPr>
      <w:rFonts w:asciiTheme="majorHAnsi" w:eastAsiaTheme="majorEastAsia" w:hAnsiTheme="majorHAnsi" w:cstheme="majorBidi"/>
      <w:i/>
      <w:iCs/>
      <w:color w:val="404040" w:themeColor="text1" w:themeTint="B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54016E"/>
    <w:pPr>
      <w:spacing w:after="0" w:line="240" w:lineRule="auto"/>
      <w:jc w:val="center"/>
    </w:pPr>
    <w:rPr>
      <w:rFonts w:ascii="Verdana" w:eastAsia="Times New Roman" w:hAnsi="Verdana" w:cs="Times New Roman"/>
      <w:b/>
      <w:bCs/>
      <w:sz w:val="24"/>
      <w:szCs w:val="24"/>
      <w:lang w:eastAsia="sk-SK"/>
    </w:rPr>
  </w:style>
  <w:style w:type="character" w:customStyle="1" w:styleId="ZkladntextChar">
    <w:name w:val="Základný text Char"/>
    <w:basedOn w:val="Predvolenpsmoodseku"/>
    <w:link w:val="Zkladntext"/>
    <w:rsid w:val="0054016E"/>
    <w:rPr>
      <w:rFonts w:ascii="Verdana" w:eastAsia="Times New Roman" w:hAnsi="Verdana" w:cs="Times New Roman"/>
      <w:b/>
      <w:bCs/>
      <w:sz w:val="24"/>
      <w:szCs w:val="24"/>
      <w:lang w:eastAsia="sk-SK"/>
    </w:rPr>
  </w:style>
  <w:style w:type="paragraph" w:styleId="Hlavika">
    <w:name w:val="header"/>
    <w:aliases w:val="Hlavička Char Char,Hlavička Char Char Char Char Char,Hlavička Char Char Char Char Char Char Char,Hlavička Char Char Char Char Char Char Char Char Char Char,Hlavička Char Char Char Char Char Char Char Char Char,Hlavička Char Char Char Char,Char"/>
    <w:basedOn w:val="Normlny"/>
    <w:link w:val="HlavikaChar"/>
    <w:uiPriority w:val="99"/>
    <w:unhideWhenUsed/>
    <w:rsid w:val="0054016E"/>
    <w:pPr>
      <w:tabs>
        <w:tab w:val="center" w:pos="4536"/>
        <w:tab w:val="right" w:pos="9072"/>
      </w:tabs>
      <w:spacing w:after="0" w:line="240" w:lineRule="auto"/>
      <w:jc w:val="left"/>
    </w:pPr>
  </w:style>
  <w:style w:type="character" w:customStyle="1" w:styleId="HlavikaChar">
    <w:name w:val="Hlavička Char"/>
    <w:aliases w:val="Hlavička Char Char Char,Hlavička Char Char Char Char Char Char,Hlavička Char Char Char Char Char Char Char Char,Hlavička Char Char Char Char Char Char Char Char Char Char Char,Hlavička Char Char Char Char Char Char Char Char Char Char1"/>
    <w:basedOn w:val="Predvolenpsmoodseku"/>
    <w:link w:val="Hlavika"/>
    <w:uiPriority w:val="99"/>
    <w:rsid w:val="0054016E"/>
  </w:style>
  <w:style w:type="paragraph" w:styleId="Pta">
    <w:name w:val="footer"/>
    <w:basedOn w:val="Normlny"/>
    <w:link w:val="PtaChar"/>
    <w:uiPriority w:val="99"/>
    <w:unhideWhenUsed/>
    <w:rsid w:val="0054016E"/>
    <w:pPr>
      <w:tabs>
        <w:tab w:val="center" w:pos="4536"/>
        <w:tab w:val="right" w:pos="9072"/>
      </w:tabs>
      <w:spacing w:after="0" w:line="240" w:lineRule="auto"/>
      <w:jc w:val="left"/>
    </w:pPr>
  </w:style>
  <w:style w:type="character" w:customStyle="1" w:styleId="PtaChar">
    <w:name w:val="Päta Char"/>
    <w:basedOn w:val="Predvolenpsmoodseku"/>
    <w:link w:val="Pta"/>
    <w:uiPriority w:val="99"/>
    <w:qFormat/>
    <w:rsid w:val="0054016E"/>
  </w:style>
  <w:style w:type="character" w:customStyle="1" w:styleId="Nadpis1Char">
    <w:name w:val="Nadpis 1 Char"/>
    <w:basedOn w:val="Predvolenpsmoodseku"/>
    <w:link w:val="Nadpis1"/>
    <w:uiPriority w:val="9"/>
    <w:rsid w:val="00836751"/>
    <w:rPr>
      <w:b/>
      <w:caps/>
    </w:rPr>
  </w:style>
  <w:style w:type="character" w:customStyle="1" w:styleId="Nadpis3Char">
    <w:name w:val="Nadpis 3 Char"/>
    <w:basedOn w:val="Predvolenpsmoodseku"/>
    <w:link w:val="Nadpis3"/>
    <w:uiPriority w:val="9"/>
    <w:rsid w:val="00283CC8"/>
    <w:rPr>
      <w:b/>
    </w:rPr>
  </w:style>
  <w:style w:type="character" w:customStyle="1" w:styleId="Nadpis4Char">
    <w:name w:val="Nadpis 4 Char"/>
    <w:basedOn w:val="Predvolenpsmoodseku"/>
    <w:link w:val="Nadpis4"/>
    <w:uiPriority w:val="9"/>
    <w:rsid w:val="00840806"/>
    <w:rPr>
      <w:rFonts w:eastAsia="Cambria" w:cstheme="majorBidi"/>
      <w:bCs/>
      <w:iCs/>
      <w:color w:val="5B9BD5" w:themeColor="accent1"/>
      <w:u w:val="single"/>
    </w:rPr>
  </w:style>
  <w:style w:type="character" w:customStyle="1" w:styleId="Nadpis5Char">
    <w:name w:val="Nadpis 5 Char"/>
    <w:basedOn w:val="Predvolenpsmoodseku"/>
    <w:link w:val="Nadpis5"/>
    <w:uiPriority w:val="9"/>
    <w:rsid w:val="00840806"/>
    <w:rPr>
      <w:rFonts w:eastAsiaTheme="majorEastAsia" w:cstheme="majorBidi"/>
      <w:color w:val="006EB6"/>
    </w:rPr>
  </w:style>
  <w:style w:type="character" w:customStyle="1" w:styleId="Nadpis6Char">
    <w:name w:val="Nadpis 6 Char"/>
    <w:basedOn w:val="Predvolenpsmoodseku"/>
    <w:link w:val="Nadpis6"/>
    <w:uiPriority w:val="9"/>
    <w:rsid w:val="00840806"/>
    <w:rPr>
      <w:rFonts w:asciiTheme="majorHAnsi" w:eastAsiaTheme="majorEastAsia" w:hAnsiTheme="majorHAnsi" w:cstheme="majorBidi"/>
      <w:i/>
      <w:iCs/>
      <w:color w:val="1F4D78" w:themeColor="accent1" w:themeShade="7F"/>
    </w:rPr>
  </w:style>
  <w:style w:type="character" w:customStyle="1" w:styleId="Nadpis7Char">
    <w:name w:val="Nadpis 7 Char"/>
    <w:basedOn w:val="Predvolenpsmoodseku"/>
    <w:link w:val="Nadpis7"/>
    <w:uiPriority w:val="9"/>
    <w:rsid w:val="00840806"/>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rsid w:val="00840806"/>
    <w:rPr>
      <w:rFonts w:asciiTheme="majorHAnsi" w:eastAsiaTheme="majorEastAsia" w:hAnsiTheme="majorHAnsi" w:cstheme="majorBidi"/>
      <w:color w:val="404040" w:themeColor="text1" w:themeTint="BF"/>
      <w:szCs w:val="20"/>
    </w:rPr>
  </w:style>
  <w:style w:type="character" w:customStyle="1" w:styleId="Nadpis9Char">
    <w:name w:val="Nadpis 9 Char"/>
    <w:basedOn w:val="Predvolenpsmoodseku"/>
    <w:link w:val="Nadpis9"/>
    <w:uiPriority w:val="9"/>
    <w:rsid w:val="00840806"/>
    <w:rPr>
      <w:rFonts w:asciiTheme="majorHAnsi" w:eastAsiaTheme="majorEastAsia" w:hAnsiTheme="majorHAnsi" w:cstheme="majorBidi"/>
      <w:i/>
      <w:iCs/>
      <w:color w:val="404040" w:themeColor="text1" w:themeTint="BF"/>
      <w:szCs w:val="20"/>
    </w:rPr>
  </w:style>
  <w:style w:type="character" w:styleId="Hypertextovprepojenie">
    <w:name w:val="Hyperlink"/>
    <w:basedOn w:val="Predvolenpsmoodseku"/>
    <w:uiPriority w:val="99"/>
    <w:unhideWhenUsed/>
    <w:rsid w:val="00840806"/>
    <w:rPr>
      <w:color w:val="0563C1" w:themeColor="hyperlink"/>
      <w:u w:val="single"/>
    </w:rPr>
  </w:style>
  <w:style w:type="paragraph" w:styleId="Textpoznmkypodiarou">
    <w:name w:val="footnote text"/>
    <w:aliases w:val="Text poznámky pod čiarou 007,_Poznámka pod čiarou,Char4,Schriftart: 9 pt,Schriftart: 10 pt,Schriftart: 8 pt,Schriftart: 8 pt Char Char Char,Schriftart: 8 pt Char,Text poznámky pod èiarou 007,Stinking Styles2,o,Car"/>
    <w:basedOn w:val="Normlny"/>
    <w:link w:val="TextpoznmkypodiarouChar"/>
    <w:uiPriority w:val="99"/>
    <w:unhideWhenUsed/>
    <w:qFormat/>
    <w:rsid w:val="004D72FD"/>
    <w:pPr>
      <w:spacing w:after="0"/>
      <w:jc w:val="left"/>
    </w:pPr>
    <w:rPr>
      <w:sz w:val="16"/>
      <w:szCs w:val="20"/>
    </w:rPr>
  </w:style>
  <w:style w:type="character" w:customStyle="1" w:styleId="TextpoznmkypodiarouChar">
    <w:name w:val="Text poznámky pod čiarou Char"/>
    <w:aliases w:val="Text poznámky pod čiarou 007 Char,_Poznámka pod čiarou Char,Char4 Char,Schriftart: 9 pt Char,Schriftart: 10 pt Char,Schriftart: 8 pt Char1,Schriftart: 8 pt Char Char Char Char,Schriftart: 8 pt Char Char,o Char,Car Char"/>
    <w:basedOn w:val="Predvolenpsmoodseku"/>
    <w:link w:val="Textpoznmkypodiarou"/>
    <w:uiPriority w:val="99"/>
    <w:qFormat/>
    <w:rsid w:val="004D72FD"/>
    <w:rPr>
      <w:sz w:val="16"/>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qFormat/>
    <w:rsid w:val="00840806"/>
    <w:rPr>
      <w:vertAlign w:val="superscript"/>
    </w:rPr>
  </w:style>
  <w:style w:type="character" w:customStyle="1" w:styleId="OdsekzoznamuChar">
    <w:name w:val="Odsek zoznamu Char"/>
    <w:aliases w:val="Odsek Char,Lettre d'introduction Char,Paragrafo elenco Char,1st level - Bullet List Paragraph Char,Table of contents numbered Char,List Paragraph (numbered (a)) Char,List Paragraph11 Char,Medium Grid 1 - Accent 21 Char,Odražka 1 Char"/>
    <w:basedOn w:val="Predvolenpsmoodseku"/>
    <w:link w:val="Odsekzoznamu"/>
    <w:uiPriority w:val="34"/>
    <w:qFormat/>
    <w:locked/>
    <w:rsid w:val="00840806"/>
    <w:rPr>
      <w:rFonts w:ascii="Century Gothic" w:hAnsi="Century Gothic"/>
      <w:lang w:val="en-US"/>
    </w:rPr>
  </w:style>
  <w:style w:type="paragraph" w:styleId="Odsekzoznamu">
    <w:name w:val="List Paragraph"/>
    <w:aliases w:val="Odsek,Lettre d'introduction,Paragrafo elenco,1st level - Bullet List Paragraph,Table of contents numbered,List Paragraph (numbered (a)),List Paragraph11,Medium Grid 1 - Accent 21,Normal bullet 2,Bullet list,Odražka 1,Dot pt,List Paragraph"/>
    <w:basedOn w:val="Normlny"/>
    <w:link w:val="OdsekzoznamuChar"/>
    <w:uiPriority w:val="34"/>
    <w:qFormat/>
    <w:rsid w:val="00840806"/>
    <w:pPr>
      <w:ind w:left="720"/>
      <w:contextualSpacing/>
      <w:jc w:val="left"/>
    </w:pPr>
    <w:rPr>
      <w:rFonts w:ascii="Century Gothic" w:hAnsi="Century Gothic"/>
      <w:lang w:val="en-US"/>
    </w:rPr>
  </w:style>
  <w:style w:type="paragraph" w:styleId="Popis">
    <w:name w:val="caption"/>
    <w:basedOn w:val="Normlny"/>
    <w:next w:val="Normlny"/>
    <w:uiPriority w:val="35"/>
    <w:unhideWhenUsed/>
    <w:qFormat/>
    <w:rsid w:val="00840806"/>
    <w:pPr>
      <w:jc w:val="left"/>
    </w:pPr>
    <w:rPr>
      <w:b/>
      <w:bCs/>
      <w:color w:val="5B9BD5" w:themeColor="accent1"/>
      <w:szCs w:val="18"/>
    </w:rPr>
  </w:style>
  <w:style w:type="paragraph" w:customStyle="1" w:styleId="Char2">
    <w:name w:val="Char2"/>
    <w:basedOn w:val="Normlny"/>
    <w:link w:val="Odkaznapoznmkupodiarou"/>
    <w:uiPriority w:val="99"/>
    <w:rsid w:val="00840806"/>
    <w:pPr>
      <w:spacing w:line="240" w:lineRule="exact"/>
      <w:jc w:val="left"/>
    </w:pPr>
    <w:rPr>
      <w:vertAlign w:val="superscript"/>
    </w:rPr>
  </w:style>
  <w:style w:type="paragraph" w:styleId="Bezriadkovania">
    <w:name w:val="No Spacing"/>
    <w:link w:val="BezriadkovaniaChar"/>
    <w:qFormat/>
    <w:rsid w:val="009D7CBA"/>
    <w:pPr>
      <w:spacing w:after="0" w:line="240" w:lineRule="auto"/>
      <w:jc w:val="both"/>
    </w:pPr>
  </w:style>
  <w:style w:type="character" w:customStyle="1" w:styleId="Nadpis2Char">
    <w:name w:val="Nadpis 2 Char"/>
    <w:basedOn w:val="Predvolenpsmoodseku"/>
    <w:link w:val="Nadpis2"/>
    <w:uiPriority w:val="9"/>
    <w:rsid w:val="004E2822"/>
    <w:rPr>
      <w:b/>
      <w:caps/>
    </w:rPr>
  </w:style>
  <w:style w:type="paragraph" w:styleId="Textkomentra">
    <w:name w:val="annotation text"/>
    <w:basedOn w:val="Normlny"/>
    <w:link w:val="TextkomentraChar"/>
    <w:uiPriority w:val="99"/>
    <w:semiHidden/>
    <w:unhideWhenUsed/>
    <w:pPr>
      <w:spacing w:line="240" w:lineRule="auto"/>
    </w:pPr>
    <w:rPr>
      <w:sz w:val="20"/>
      <w:szCs w:val="20"/>
    </w:rPr>
  </w:style>
  <w:style w:type="character" w:customStyle="1" w:styleId="TextkomentraChar">
    <w:name w:val="Text komentára Char"/>
    <w:basedOn w:val="Predvolenpsmoodseku"/>
    <w:link w:val="Textkomentra"/>
    <w:uiPriority w:val="99"/>
    <w:semiHidden/>
    <w:rPr>
      <w:sz w:val="20"/>
      <w:szCs w:val="2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E348D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348D8"/>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850EDC"/>
    <w:rPr>
      <w:b/>
      <w:bCs/>
    </w:rPr>
  </w:style>
  <w:style w:type="character" w:customStyle="1" w:styleId="PredmetkomentraChar">
    <w:name w:val="Predmet komentára Char"/>
    <w:basedOn w:val="TextkomentraChar"/>
    <w:link w:val="Predmetkomentra"/>
    <w:uiPriority w:val="99"/>
    <w:semiHidden/>
    <w:rsid w:val="00850EDC"/>
    <w:rPr>
      <w:b/>
      <w:bCs/>
      <w:sz w:val="20"/>
      <w:szCs w:val="20"/>
    </w:rPr>
  </w:style>
  <w:style w:type="paragraph" w:customStyle="1" w:styleId="oj-normal">
    <w:name w:val="oj-normal"/>
    <w:basedOn w:val="Normlny"/>
    <w:rsid w:val="00517199"/>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character" w:customStyle="1" w:styleId="oj-super">
    <w:name w:val="oj-super"/>
    <w:basedOn w:val="Predvolenpsmoodseku"/>
    <w:rsid w:val="00517199"/>
  </w:style>
  <w:style w:type="paragraph" w:styleId="Revzia">
    <w:name w:val="Revision"/>
    <w:hidden/>
    <w:uiPriority w:val="99"/>
    <w:semiHidden/>
    <w:rsid w:val="00517199"/>
    <w:pPr>
      <w:spacing w:after="0" w:line="240" w:lineRule="auto"/>
    </w:pPr>
  </w:style>
  <w:style w:type="paragraph" w:customStyle="1" w:styleId="schmapomoci">
    <w:name w:val="schéma pomoci"/>
    <w:basedOn w:val="Normlny"/>
    <w:qFormat/>
    <w:rsid w:val="004D72FD"/>
    <w:pPr>
      <w:numPr>
        <w:numId w:val="30"/>
      </w:numPr>
      <w:spacing w:after="0" w:line="240" w:lineRule="auto"/>
    </w:pPr>
    <w:rPr>
      <w:rFonts w:ascii="Calibri" w:eastAsiaTheme="minorEastAsia" w:hAnsi="Calibri"/>
      <w:szCs w:val="24"/>
    </w:rPr>
  </w:style>
  <w:style w:type="table" w:styleId="Mriekatabuky">
    <w:name w:val="Table Grid"/>
    <w:basedOn w:val="Normlnatabuka"/>
    <w:uiPriority w:val="39"/>
    <w:rsid w:val="00B4592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panyname">
    <w:name w:val="zcompany name"/>
    <w:basedOn w:val="Normlny"/>
    <w:semiHidden/>
    <w:rsid w:val="002F00B6"/>
    <w:pPr>
      <w:spacing w:after="400" w:line="440" w:lineRule="exact"/>
      <w:jc w:val="center"/>
    </w:pPr>
    <w:rPr>
      <w:rFonts w:eastAsia="Times New Roman"/>
      <w:b/>
      <w:noProof/>
      <w:sz w:val="26"/>
      <w:szCs w:val="20"/>
    </w:rPr>
  </w:style>
  <w:style w:type="character" w:customStyle="1" w:styleId="BezriadkovaniaChar">
    <w:name w:val="Bez riadkovania Char"/>
    <w:basedOn w:val="Predvolenpsmoodseku"/>
    <w:link w:val="Bezriadkovania"/>
    <w:rsid w:val="002F00B6"/>
  </w:style>
  <w:style w:type="paragraph" w:customStyle="1" w:styleId="odstavecseseznamem">
    <w:name w:val="odstavecseseznamem"/>
    <w:basedOn w:val="Normlny"/>
    <w:rsid w:val="006541C9"/>
    <w:pPr>
      <w:spacing w:before="100" w:beforeAutospacing="1" w:after="100" w:afterAutospacing="1" w:line="240" w:lineRule="auto"/>
      <w:jc w:val="left"/>
    </w:pPr>
    <w:rPr>
      <w:rFonts w:ascii="Times New Roman" w:eastAsia="Times New Roman" w:hAnsi="Times New Roman" w:cs="Times New Roman"/>
      <w:sz w:val="24"/>
      <w:szCs w:val="24"/>
      <w:lang w:eastAsia="sk-SK"/>
    </w:rPr>
  </w:style>
  <w:style w:type="paragraph" w:customStyle="1" w:styleId="Default">
    <w:name w:val="Default"/>
    <w:rsid w:val="00D704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501891">
      <w:bodyDiv w:val="1"/>
      <w:marLeft w:val="0"/>
      <w:marRight w:val="0"/>
      <w:marTop w:val="0"/>
      <w:marBottom w:val="0"/>
      <w:divBdr>
        <w:top w:val="none" w:sz="0" w:space="0" w:color="auto"/>
        <w:left w:val="none" w:sz="0" w:space="0" w:color="auto"/>
        <w:bottom w:val="none" w:sz="0" w:space="0" w:color="auto"/>
        <w:right w:val="none" w:sz="0" w:space="0" w:color="auto"/>
      </w:divBdr>
    </w:div>
    <w:div w:id="1323508902">
      <w:bodyDiv w:val="1"/>
      <w:marLeft w:val="0"/>
      <w:marRight w:val="0"/>
      <w:marTop w:val="0"/>
      <w:marBottom w:val="0"/>
      <w:divBdr>
        <w:top w:val="none" w:sz="0" w:space="0" w:color="auto"/>
        <w:left w:val="none" w:sz="0" w:space="0" w:color="auto"/>
        <w:bottom w:val="none" w:sz="0" w:space="0" w:color="auto"/>
        <w:right w:val="none" w:sz="0" w:space="0" w:color="auto"/>
      </w:divBdr>
    </w:div>
    <w:div w:id="20344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13299d410e7646e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fac60813371b42a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www.statnapomoc.sk/wp-content/uploads/2015/12/FAQ-GBER-1-cast1.pdf" TargetMode="External"/><Relationship Id="rId2" Type="http://schemas.openxmlformats.org/officeDocument/2006/relationships/hyperlink" Target="http://ec.europa.eu/competition/state_aid/legislation/practical_guide_gber_en.pdf" TargetMode="External"/><Relationship Id="rId1" Type="http://schemas.openxmlformats.org/officeDocument/2006/relationships/hyperlink" Target="https://eurofondy.gov.sk/dokumenty-a-publikacie/metodicke-dokument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FE17-5AD3-4B64-B4C7-E108AC7E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6250</Words>
  <Characters>35629</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2024-05-24T10:48:00Z</dcterms:created>
  <dcterms:modified xsi:type="dcterms:W3CDTF">2024-06-21T10:25:00Z</dcterms:modified>
</cp:coreProperties>
</file>