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E3" w:rsidRDefault="007768E3" w:rsidP="008B45CB">
      <w:pPr>
        <w:jc w:val="center"/>
        <w:rPr>
          <w:b/>
          <w:sz w:val="28"/>
          <w:szCs w:val="28"/>
        </w:rPr>
      </w:pPr>
    </w:p>
    <w:p w:rsidR="007768E3" w:rsidRDefault="007768E3" w:rsidP="008B45CB">
      <w:pPr>
        <w:jc w:val="center"/>
        <w:rPr>
          <w:b/>
          <w:sz w:val="28"/>
          <w:szCs w:val="28"/>
        </w:rPr>
      </w:pPr>
    </w:p>
    <w:p w:rsidR="007768E3" w:rsidRDefault="007768E3" w:rsidP="008B45CB">
      <w:pPr>
        <w:jc w:val="center"/>
        <w:rPr>
          <w:b/>
          <w:sz w:val="28"/>
          <w:szCs w:val="28"/>
        </w:rPr>
      </w:pPr>
    </w:p>
    <w:p w:rsidR="007768E3" w:rsidRDefault="007768E3" w:rsidP="008B45CB">
      <w:pPr>
        <w:jc w:val="center"/>
        <w:rPr>
          <w:b/>
          <w:sz w:val="28"/>
          <w:szCs w:val="28"/>
        </w:rPr>
      </w:pPr>
    </w:p>
    <w:p w:rsidR="007768E3" w:rsidRDefault="007768E3" w:rsidP="008B45CB">
      <w:pPr>
        <w:jc w:val="center"/>
        <w:rPr>
          <w:b/>
          <w:sz w:val="28"/>
          <w:szCs w:val="28"/>
        </w:rPr>
      </w:pPr>
    </w:p>
    <w:p w:rsidR="007768E3" w:rsidRDefault="007768E3" w:rsidP="008B45CB">
      <w:pPr>
        <w:jc w:val="center"/>
        <w:rPr>
          <w:b/>
          <w:sz w:val="28"/>
          <w:szCs w:val="28"/>
        </w:rPr>
      </w:pPr>
    </w:p>
    <w:p w:rsidR="007768E3" w:rsidRDefault="007768E3" w:rsidP="008B45CB">
      <w:pPr>
        <w:jc w:val="center"/>
        <w:rPr>
          <w:b/>
          <w:sz w:val="28"/>
          <w:szCs w:val="28"/>
        </w:rPr>
      </w:pPr>
    </w:p>
    <w:p w:rsidR="007768E3" w:rsidRDefault="007768E3" w:rsidP="008B45CB">
      <w:pPr>
        <w:jc w:val="center"/>
        <w:rPr>
          <w:b/>
          <w:sz w:val="28"/>
          <w:szCs w:val="28"/>
        </w:rPr>
      </w:pPr>
    </w:p>
    <w:p w:rsidR="005F174C" w:rsidRDefault="008B45CB" w:rsidP="007768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Výročná správa</w:t>
      </w:r>
      <w:r w:rsidRPr="008B45CB">
        <w:rPr>
          <w:b/>
          <w:sz w:val="28"/>
          <w:szCs w:val="28"/>
        </w:rPr>
        <w:t xml:space="preserve"> o aktivitách sieťových partnerov v oblasti ochrany finančných záujmov EÚ v Slovenskej republike</w:t>
      </w:r>
      <w:r>
        <w:rPr>
          <w:b/>
          <w:sz w:val="28"/>
          <w:szCs w:val="28"/>
        </w:rPr>
        <w:t xml:space="preserve"> za rok 2012</w:t>
      </w:r>
    </w:p>
    <w:p w:rsidR="00CB66AF" w:rsidRDefault="00CB66AF" w:rsidP="008B45CB">
      <w:pPr>
        <w:jc w:val="center"/>
        <w:rPr>
          <w:b/>
          <w:sz w:val="28"/>
          <w:szCs w:val="28"/>
        </w:rPr>
      </w:pPr>
    </w:p>
    <w:p w:rsidR="00CB66AF" w:rsidRDefault="00CB66AF" w:rsidP="0048028F"/>
    <w:p w:rsidR="00CB66AF" w:rsidRDefault="00CB66AF" w:rsidP="0048028F"/>
    <w:p w:rsidR="00CB66AF" w:rsidRDefault="002A41C7" w:rsidP="00B3197B">
      <w:pPr>
        <w:jc w:val="center"/>
      </w:pPr>
      <w:r>
        <w:t>Apríl 2013</w:t>
      </w:r>
    </w:p>
    <w:p w:rsidR="00B3197B" w:rsidRDefault="00B3197B" w:rsidP="00B3197B">
      <w:pPr>
        <w:jc w:val="center"/>
      </w:pPr>
    </w:p>
    <w:p w:rsidR="00B3197B" w:rsidRDefault="00B3197B" w:rsidP="00B3197B">
      <w:pPr>
        <w:jc w:val="center"/>
      </w:pPr>
    </w:p>
    <w:p w:rsidR="00B3197B" w:rsidRDefault="00B3197B" w:rsidP="00B3197B">
      <w:pPr>
        <w:jc w:val="center"/>
      </w:pPr>
    </w:p>
    <w:p w:rsidR="00B3197B" w:rsidRDefault="000905BE" w:rsidP="000905BE">
      <w:pPr>
        <w:tabs>
          <w:tab w:val="left" w:pos="3885"/>
        </w:tabs>
      </w:pPr>
      <w:r>
        <w:tab/>
      </w:r>
    </w:p>
    <w:p w:rsidR="00B3197B" w:rsidRDefault="00B3197B" w:rsidP="00B3197B">
      <w:pPr>
        <w:jc w:val="center"/>
      </w:pPr>
    </w:p>
    <w:p w:rsidR="00B3197B" w:rsidRDefault="00B3197B" w:rsidP="00B3197B">
      <w:pPr>
        <w:jc w:val="center"/>
      </w:pPr>
    </w:p>
    <w:p w:rsidR="00B3197B" w:rsidRDefault="00B3197B" w:rsidP="00B3197B">
      <w:pPr>
        <w:jc w:val="center"/>
      </w:pPr>
    </w:p>
    <w:p w:rsidR="00B3197B" w:rsidRDefault="00B3197B" w:rsidP="00B3197B">
      <w:pPr>
        <w:jc w:val="center"/>
      </w:pPr>
    </w:p>
    <w:p w:rsidR="00B3197B" w:rsidRDefault="00B3197B" w:rsidP="00B3197B">
      <w:pPr>
        <w:jc w:val="center"/>
      </w:pPr>
    </w:p>
    <w:p w:rsidR="00B3197B" w:rsidRDefault="00B3197B" w:rsidP="00B3197B">
      <w:pPr>
        <w:jc w:val="center"/>
      </w:pPr>
    </w:p>
    <w:p w:rsidR="00CB66AF" w:rsidRDefault="00CB66AF" w:rsidP="0048028F"/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549137550"/>
        <w:docPartObj>
          <w:docPartGallery w:val="Table of Contents"/>
          <w:docPartUnique/>
        </w:docPartObj>
      </w:sdtPr>
      <w:sdtEndPr/>
      <w:sdtContent>
        <w:p w:rsidR="00FE021F" w:rsidRDefault="00FE021F">
          <w:pPr>
            <w:pStyle w:val="Hlavikaobsahu"/>
          </w:pPr>
          <w:r>
            <w:t>Obsah</w:t>
          </w:r>
        </w:p>
        <w:p w:rsidR="0052190A" w:rsidRDefault="00FE021F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55097125" w:history="1">
            <w:r w:rsidR="0052190A" w:rsidRPr="00112520">
              <w:rPr>
                <w:rStyle w:val="Hypertextovprepojenie"/>
                <w:noProof/>
              </w:rPr>
              <w:t>1.</w:t>
            </w:r>
            <w:r w:rsidR="0052190A">
              <w:rPr>
                <w:rFonts w:eastAsiaTheme="minorEastAsia"/>
                <w:noProof/>
                <w:lang w:eastAsia="sk-SK"/>
              </w:rPr>
              <w:tab/>
            </w:r>
            <w:r w:rsidR="0052190A" w:rsidRPr="00112520">
              <w:rPr>
                <w:rStyle w:val="Hypertextovprepojenie"/>
                <w:noProof/>
              </w:rPr>
              <w:t>Úvod</w:t>
            </w:r>
            <w:r w:rsidR="0052190A">
              <w:rPr>
                <w:noProof/>
                <w:webHidden/>
              </w:rPr>
              <w:tab/>
            </w:r>
            <w:r w:rsidR="0052190A">
              <w:rPr>
                <w:noProof/>
                <w:webHidden/>
              </w:rPr>
              <w:fldChar w:fldCharType="begin"/>
            </w:r>
            <w:r w:rsidR="0052190A">
              <w:rPr>
                <w:noProof/>
                <w:webHidden/>
              </w:rPr>
              <w:instrText xml:space="preserve"> PAGEREF _Toc355097125 \h </w:instrText>
            </w:r>
            <w:r w:rsidR="0052190A">
              <w:rPr>
                <w:noProof/>
                <w:webHidden/>
              </w:rPr>
            </w:r>
            <w:r w:rsidR="0052190A">
              <w:rPr>
                <w:noProof/>
                <w:webHidden/>
              </w:rPr>
              <w:fldChar w:fldCharType="separate"/>
            </w:r>
            <w:r w:rsidR="0052190A">
              <w:rPr>
                <w:noProof/>
                <w:webHidden/>
              </w:rPr>
              <w:t>3</w:t>
            </w:r>
            <w:r w:rsidR="0052190A"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26" w:history="1">
            <w:r w:rsidRPr="00112520">
              <w:rPr>
                <w:rStyle w:val="Hypertextovprepojenie"/>
                <w:noProof/>
              </w:rPr>
              <w:t>2.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112520">
              <w:rPr>
                <w:rStyle w:val="Hypertextovprepojenie"/>
                <w:noProof/>
              </w:rPr>
              <w:t>Zoznam skratiek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27" w:history="1">
            <w:r w:rsidRPr="00112520">
              <w:rPr>
                <w:rStyle w:val="Hypertextovprepojenie"/>
                <w:noProof/>
              </w:rPr>
              <w:t>3.</w:t>
            </w:r>
            <w:r>
              <w:rPr>
                <w:rFonts w:eastAsiaTheme="minorEastAsia"/>
                <w:noProof/>
                <w:lang w:eastAsia="sk-SK"/>
              </w:rPr>
              <w:tab/>
            </w:r>
            <w:r w:rsidRPr="00112520">
              <w:rPr>
                <w:rStyle w:val="Hypertextovprepojenie"/>
                <w:noProof/>
              </w:rPr>
              <w:t>Ochrana finančných záujmov EÚ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28" w:history="1">
            <w:r w:rsidRPr="00112520">
              <w:rPr>
                <w:rStyle w:val="Hypertextovprepojenie"/>
                <w:noProof/>
              </w:rPr>
              <w:t>3.1 Spolupráca medzi OCKÚ OLAF a OLAF-om a so sieťovými partnermi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29" w:history="1">
            <w:r w:rsidRPr="00112520">
              <w:rPr>
                <w:rStyle w:val="Hypertextovprepojenie"/>
                <w:noProof/>
              </w:rPr>
              <w:t>3.1.1. Spolupráca OCKÚ OLAF s OLAF-om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30" w:history="1">
            <w:r w:rsidRPr="00112520">
              <w:rPr>
                <w:rStyle w:val="Hypertextovprepojenie"/>
                <w:noProof/>
              </w:rPr>
              <w:t>3.1.2. Spolupráca OCKÚ OLAF so sieťovými partnermi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31" w:history="1">
            <w:r w:rsidRPr="00112520">
              <w:rPr>
                <w:rStyle w:val="Hypertextovprepojenie"/>
                <w:noProof/>
              </w:rPr>
              <w:t>3.2 Činnosť Riadiaceho výboru pre ochranu finančných záujmov Európskej únie v Slovenskej republike a pracovných skupín pod Riadiacim výborom pre ochranu finančných záujmov Európskej únie v Slovenskej republike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32" w:history="1">
            <w:r w:rsidRPr="00112520">
              <w:rPr>
                <w:rStyle w:val="Hypertextovprepojenie"/>
                <w:noProof/>
              </w:rPr>
              <w:t>4. Príklady dobrej praxe v oblasti ochrany finančných záujmov EÚ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33" w:history="1">
            <w:r w:rsidRPr="00112520">
              <w:rPr>
                <w:rStyle w:val="Hypertextovprepojenie"/>
                <w:noProof/>
              </w:rPr>
              <w:t>4.1 OCKÚ OLAF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34" w:history="1">
            <w:r w:rsidRPr="00112520">
              <w:rPr>
                <w:rStyle w:val="Hypertextovprepojenie"/>
                <w:noProof/>
              </w:rPr>
              <w:t>4.1.1 Nezrovnalosti a možnosti ich nahlasovania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35" w:history="1">
            <w:r w:rsidRPr="00112520">
              <w:rPr>
                <w:rStyle w:val="Hypertextovprepojenie"/>
                <w:noProof/>
              </w:rPr>
              <w:t>4.2 Ostatní sieťoví partneri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36" w:history="1">
            <w:r w:rsidRPr="00112520">
              <w:rPr>
                <w:rStyle w:val="Hypertextovprepojenie"/>
                <w:noProof/>
              </w:rPr>
              <w:t>5. Uskutočnené školiace aktivity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37" w:history="1">
            <w:r w:rsidRPr="00112520">
              <w:rPr>
                <w:rStyle w:val="Hypertextovprepojenie"/>
                <w:noProof/>
              </w:rPr>
              <w:t>5.1. Školiace aktivity realizované OCKÚ OLAF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38" w:history="1">
            <w:r w:rsidRPr="00112520">
              <w:rPr>
                <w:rStyle w:val="Hypertextovprepojenie"/>
                <w:noProof/>
              </w:rPr>
              <w:t>5.2. Školiace aktivity realizované ostatnými sieťovými partnermi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39" w:history="1">
            <w:r w:rsidRPr="00112520">
              <w:rPr>
                <w:rStyle w:val="Hypertextovprepojenie"/>
                <w:noProof/>
              </w:rPr>
              <w:t>6. Vydávanie tlačových správ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40" w:history="1">
            <w:r w:rsidRPr="00112520">
              <w:rPr>
                <w:rStyle w:val="Hypertextovprepojenie"/>
                <w:noProof/>
              </w:rPr>
              <w:t>6.1 OCKÚ OLAF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2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41" w:history="1">
            <w:r w:rsidRPr="00112520">
              <w:rPr>
                <w:rStyle w:val="Hypertextovprepojenie"/>
                <w:noProof/>
              </w:rPr>
              <w:t>6.2 Ostatní sieťoví partneri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2190A" w:rsidRDefault="0052190A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sk-SK"/>
            </w:rPr>
          </w:pPr>
          <w:hyperlink w:anchor="_Toc355097142" w:history="1">
            <w:r w:rsidRPr="00112520">
              <w:rPr>
                <w:rStyle w:val="Hypertextovprepojenie"/>
                <w:noProof/>
              </w:rPr>
              <w:t>7. Záver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_Toc355097142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E021F" w:rsidRDefault="00FE021F">
          <w:r>
            <w:rPr>
              <w:b/>
              <w:bCs/>
            </w:rPr>
            <w:fldChar w:fldCharType="end"/>
          </w:r>
        </w:p>
      </w:sdtContent>
    </w:sdt>
    <w:p w:rsidR="008B45CB" w:rsidRDefault="008B45CB" w:rsidP="008B45CB"/>
    <w:p w:rsidR="002104F0" w:rsidRDefault="002104F0" w:rsidP="008B45CB"/>
    <w:p w:rsidR="002104F0" w:rsidRDefault="002104F0" w:rsidP="008B45CB"/>
    <w:p w:rsidR="007768E3" w:rsidRDefault="007768E3" w:rsidP="008B45CB"/>
    <w:p w:rsidR="000C243A" w:rsidRDefault="000C243A" w:rsidP="008B45CB"/>
    <w:p w:rsidR="008905CA" w:rsidRDefault="008905CA" w:rsidP="008B45CB"/>
    <w:p w:rsidR="008905CA" w:rsidRDefault="008905CA" w:rsidP="008B45CB"/>
    <w:p w:rsidR="008905CA" w:rsidRDefault="008905CA" w:rsidP="008B45CB"/>
    <w:p w:rsidR="008905CA" w:rsidRDefault="008905CA" w:rsidP="008B45CB"/>
    <w:p w:rsidR="008905CA" w:rsidRDefault="008905CA" w:rsidP="008B45CB"/>
    <w:p w:rsidR="008905CA" w:rsidRDefault="008905CA" w:rsidP="008B45CB"/>
    <w:p w:rsidR="008905CA" w:rsidRDefault="008905CA" w:rsidP="008B45CB"/>
    <w:p w:rsidR="000C243A" w:rsidRDefault="000C243A" w:rsidP="008B45CB"/>
    <w:p w:rsidR="000B7851" w:rsidRDefault="000B7851" w:rsidP="008B45CB"/>
    <w:p w:rsidR="000B7851" w:rsidRDefault="000B7851" w:rsidP="008B45CB"/>
    <w:p w:rsidR="00FE021F" w:rsidRDefault="00FE021F" w:rsidP="00E46113">
      <w:pPr>
        <w:pStyle w:val="Nadpis1"/>
        <w:numPr>
          <w:ilvl w:val="0"/>
          <w:numId w:val="10"/>
        </w:numPr>
      </w:pPr>
      <w:bookmarkStart w:id="0" w:name="_Toc355097125"/>
      <w:r>
        <w:t>Úvod</w:t>
      </w:r>
      <w:bookmarkEnd w:id="0"/>
      <w:r>
        <w:t xml:space="preserve">  </w:t>
      </w:r>
    </w:p>
    <w:p w:rsidR="00D8377C" w:rsidRDefault="00D8377C" w:rsidP="00D8377C"/>
    <w:p w:rsidR="00D8377C" w:rsidRPr="00D8377C" w:rsidRDefault="00D8377C" w:rsidP="00D8377C">
      <w:pPr>
        <w:jc w:val="both"/>
      </w:pPr>
      <w:r w:rsidRPr="00D8377C">
        <w:t xml:space="preserve">V záujme zabezpečiť informovanosť širokej verejnosti na Slovensku o problematike boja proti podvodom v súvislosti s potrebou </w:t>
      </w:r>
      <w:r w:rsidR="005D5D00">
        <w:t>ochrany finančných záujmov Európskej únie v Slovenskej republike</w:t>
      </w:r>
      <w:r w:rsidRPr="00D8377C">
        <w:t xml:space="preserve">, teda </w:t>
      </w:r>
      <w:r w:rsidRPr="00681725">
        <w:t>ochrany peňazí daňových poplatníkov Európskej únie</w:t>
      </w:r>
      <w:r w:rsidR="00B47075">
        <w:t>,</w:t>
      </w:r>
      <w:r w:rsidRPr="00D8377C">
        <w:t xml:space="preserve"> bol </w:t>
      </w:r>
      <w:r>
        <w:t>v</w:t>
      </w:r>
      <w:r w:rsidRPr="00D8377C">
        <w:t xml:space="preserve"> roku 2012 vypracovaný </w:t>
      </w:r>
      <w:r w:rsidRPr="00A940C4">
        <w:rPr>
          <w:b/>
        </w:rPr>
        <w:t xml:space="preserve">nový </w:t>
      </w:r>
      <w:r w:rsidRPr="00A940C4">
        <w:rPr>
          <w:b/>
          <w:i/>
        </w:rPr>
        <w:t>Komunikačný plán k ochrane finančných záujmov Európskej únie v Slovenskej republike</w:t>
      </w:r>
      <w:r w:rsidR="006136B2">
        <w:rPr>
          <w:b/>
          <w:i/>
        </w:rPr>
        <w:t xml:space="preserve"> (ďalej len „Komunikačný plán“) </w:t>
      </w:r>
      <w:r w:rsidRPr="00E76994">
        <w:t>,</w:t>
      </w:r>
      <w:r w:rsidRPr="00D8377C">
        <w:t xml:space="preserve"> ktorý je aktualizáciou a pokračovaním Komunikačného plánu k implementácii Národnej stratégie ochrany finančných záujmov Európskej únie v</w:t>
      </w:r>
      <w:r w:rsidR="00B47075">
        <w:t> </w:t>
      </w:r>
      <w:r w:rsidRPr="00D8377C">
        <w:t>Slovenskej</w:t>
      </w:r>
      <w:r w:rsidR="00B47075">
        <w:t xml:space="preserve"> republike,</w:t>
      </w:r>
      <w:r w:rsidRPr="00D8377C">
        <w:t xml:space="preserve"> schválenej vládou SR v roku 2007</w:t>
      </w:r>
      <w:r w:rsidR="0023226F">
        <w:rPr>
          <w:rStyle w:val="Odkaznapoznmkupodiarou"/>
        </w:rPr>
        <w:footnoteReference w:id="1"/>
      </w:r>
      <w:r w:rsidRPr="00D8377C">
        <w:t>.</w:t>
      </w:r>
    </w:p>
    <w:p w:rsidR="00D8377C" w:rsidRPr="00D8377C" w:rsidRDefault="00D8377C" w:rsidP="00D8377C">
      <w:pPr>
        <w:jc w:val="both"/>
      </w:pPr>
      <w:r w:rsidRPr="00D8377C">
        <w:t xml:space="preserve">Vzhľadom na potrebu plnenia komunikačných aktivít k realizácii </w:t>
      </w:r>
      <w:r w:rsidR="001E2300">
        <w:t>K</w:t>
      </w:r>
      <w:r w:rsidRPr="00D8377C">
        <w:t xml:space="preserve">omunikačného plánu bola na zasadnutí Riadiaceho výboru pre ochranu finančných záujmov </w:t>
      </w:r>
      <w:r w:rsidR="00D96A6B" w:rsidRPr="00D96A6B">
        <w:t>Európskej únie v Slovenskej republike</w:t>
      </w:r>
      <w:r w:rsidR="00D96A6B" w:rsidRPr="00D96A6B" w:rsidDel="00D96A6B">
        <w:t xml:space="preserve"> </w:t>
      </w:r>
      <w:r w:rsidR="00E94EB4">
        <w:t>dňa 13.</w:t>
      </w:r>
      <w:r w:rsidR="00777E39">
        <w:t xml:space="preserve"> novembra </w:t>
      </w:r>
      <w:r w:rsidR="00E94EB4">
        <w:t xml:space="preserve">2012 </w:t>
      </w:r>
      <w:r w:rsidRPr="00D8377C">
        <w:t xml:space="preserve">obnovená činnosť </w:t>
      </w:r>
      <w:r w:rsidRPr="00A940C4">
        <w:rPr>
          <w:b/>
          <w:i/>
        </w:rPr>
        <w:t>Pracovnej skupiny pre komunikáciu</w:t>
      </w:r>
      <w:r w:rsidR="00777E39">
        <w:rPr>
          <w:b/>
          <w:i/>
        </w:rPr>
        <w:t xml:space="preserve"> (</w:t>
      </w:r>
      <w:r w:rsidR="00B44F83">
        <w:rPr>
          <w:b/>
          <w:i/>
        </w:rPr>
        <w:t xml:space="preserve">ďalej </w:t>
      </w:r>
      <w:r w:rsidR="001E2300">
        <w:rPr>
          <w:b/>
          <w:i/>
        </w:rPr>
        <w:t xml:space="preserve">len </w:t>
      </w:r>
      <w:r w:rsidR="00B44F83">
        <w:rPr>
          <w:b/>
          <w:i/>
        </w:rPr>
        <w:t>„</w:t>
      </w:r>
      <w:r w:rsidR="00777E39">
        <w:rPr>
          <w:b/>
          <w:i/>
        </w:rPr>
        <w:t>PSK</w:t>
      </w:r>
      <w:r w:rsidR="00B44F83">
        <w:rPr>
          <w:b/>
          <w:i/>
        </w:rPr>
        <w:t>“</w:t>
      </w:r>
      <w:r w:rsidR="00777E39">
        <w:rPr>
          <w:b/>
          <w:i/>
        </w:rPr>
        <w:t>)</w:t>
      </w:r>
      <w:r w:rsidRPr="00D8377C">
        <w:t xml:space="preserve">, ktorej členmi sú zástupcovia všetkých partnerov siete AFCOS </w:t>
      </w:r>
      <w:r>
        <w:t>v </w:t>
      </w:r>
      <w:r w:rsidRPr="00D8377C">
        <w:t>S</w:t>
      </w:r>
      <w:r>
        <w:t>lovenskej republike</w:t>
      </w:r>
      <w:r w:rsidR="000F7BDC">
        <w:rPr>
          <w:rStyle w:val="Odkaznapoznmkupodiarou"/>
        </w:rPr>
        <w:footnoteReference w:id="2"/>
      </w:r>
      <w:r w:rsidRPr="00D8377C">
        <w:t>.</w:t>
      </w:r>
    </w:p>
    <w:p w:rsidR="009C57A8" w:rsidRDefault="00FE021F" w:rsidP="00D8377C">
      <w:pPr>
        <w:jc w:val="both"/>
      </w:pPr>
      <w:r w:rsidRPr="00A940C4">
        <w:rPr>
          <w:i/>
        </w:rPr>
        <w:t>Výročná správa o</w:t>
      </w:r>
      <w:r w:rsidR="009C57A8">
        <w:rPr>
          <w:i/>
        </w:rPr>
        <w:t xml:space="preserve"> aktivitách </w:t>
      </w:r>
      <w:r w:rsidRPr="00A940C4">
        <w:rPr>
          <w:i/>
        </w:rPr>
        <w:t xml:space="preserve"> sieťových partnerov v oblasti ochrany finančných záujmov EÚ v</w:t>
      </w:r>
      <w:r w:rsidR="000F7BDC" w:rsidRPr="00A940C4">
        <w:rPr>
          <w:i/>
        </w:rPr>
        <w:t> </w:t>
      </w:r>
      <w:r w:rsidRPr="00A940C4">
        <w:rPr>
          <w:i/>
        </w:rPr>
        <w:t>SR</w:t>
      </w:r>
      <w:r w:rsidR="000F7BDC" w:rsidRPr="00A940C4">
        <w:rPr>
          <w:i/>
        </w:rPr>
        <w:t xml:space="preserve"> za rok 2012</w:t>
      </w:r>
      <w:r>
        <w:t xml:space="preserve"> je </w:t>
      </w:r>
      <w:r w:rsidRPr="00FE021F">
        <w:t xml:space="preserve">vypracovaná </w:t>
      </w:r>
      <w:r w:rsidR="00E1522A">
        <w:t>odborom Centrálny kontaktný útvar pr</w:t>
      </w:r>
      <w:r w:rsidR="000B7851">
        <w:t>e</w:t>
      </w:r>
      <w:r w:rsidR="00E1522A">
        <w:t xml:space="preserve"> OLAF </w:t>
      </w:r>
      <w:r w:rsidR="00D8377C">
        <w:t>v spolupráci s členmi PSK</w:t>
      </w:r>
      <w:r w:rsidR="004F7D4E">
        <w:t xml:space="preserve"> </w:t>
      </w:r>
      <w:r w:rsidR="0023226F">
        <w:t xml:space="preserve">na základe </w:t>
      </w:r>
      <w:r w:rsidR="00DB1932">
        <w:t>úloh</w:t>
      </w:r>
      <w:r w:rsidR="0023226F">
        <w:t>y</w:t>
      </w:r>
      <w:r w:rsidR="00DB1932">
        <w:t xml:space="preserve"> vyplýva</w:t>
      </w:r>
      <w:r w:rsidR="0023226F">
        <w:t xml:space="preserve">júcej </w:t>
      </w:r>
      <w:r w:rsidR="00DB1932">
        <w:t>z</w:t>
      </w:r>
      <w:r w:rsidR="00D550D3">
        <w:t xml:space="preserve"> nového </w:t>
      </w:r>
      <w:r w:rsidR="000F7BDC">
        <w:t>k</w:t>
      </w:r>
      <w:r w:rsidR="00DB1932">
        <w:t>omunikačného plánu a je predkladaná s cieľom informovať verejnosť o</w:t>
      </w:r>
      <w:r w:rsidR="000F7BDC">
        <w:t> </w:t>
      </w:r>
      <w:r w:rsidR="00DB1932">
        <w:t>tom</w:t>
      </w:r>
      <w:r w:rsidR="000F7BDC">
        <w:t>,</w:t>
      </w:r>
      <w:r w:rsidR="00DB1932">
        <w:t xml:space="preserve"> čo Slovenská republika robí na ochranu finančných záujmov EÚ v</w:t>
      </w:r>
      <w:r w:rsidR="00E76994">
        <w:t> </w:t>
      </w:r>
      <w:r w:rsidR="00DB1932">
        <w:t>S</w:t>
      </w:r>
      <w:r w:rsidR="00E76994">
        <w:t>lovenskej republike</w:t>
      </w:r>
      <w:r w:rsidR="009C57A8">
        <w:t>.</w:t>
      </w:r>
    </w:p>
    <w:p w:rsidR="00D3267C" w:rsidRDefault="00D3267C" w:rsidP="00D8377C">
      <w:pPr>
        <w:jc w:val="both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7F2FB3" w:rsidRPr="0053602D" w:rsidTr="007F2FB3">
        <w:tc>
          <w:tcPr>
            <w:tcW w:w="9212" w:type="dxa"/>
          </w:tcPr>
          <w:p w:rsidR="007F2FB3" w:rsidRDefault="006A2112" w:rsidP="006A2112">
            <w:pPr>
              <w:pStyle w:val="Nadpis1"/>
              <w:numPr>
                <w:ilvl w:val="0"/>
                <w:numId w:val="10"/>
              </w:numPr>
              <w:jc w:val="both"/>
              <w:outlineLvl w:val="0"/>
            </w:pPr>
            <w:bookmarkStart w:id="1" w:name="_Toc355097126"/>
            <w:r>
              <w:lastRenderedPageBreak/>
              <w:t>Z</w:t>
            </w:r>
            <w:r w:rsidR="007F2FB3" w:rsidRPr="007F2FB3">
              <w:t>oznam skratiek</w:t>
            </w:r>
            <w:bookmarkEnd w:id="1"/>
          </w:p>
          <w:p w:rsidR="00860B20" w:rsidRPr="00860B20" w:rsidRDefault="00860B20" w:rsidP="006A2112">
            <w:pPr>
              <w:jc w:val="both"/>
            </w:pPr>
          </w:p>
          <w:tbl>
            <w:tblPr>
              <w:tblStyle w:val="Mriekatabuky"/>
              <w:tblW w:w="925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337"/>
              <w:gridCol w:w="7502"/>
            </w:tblGrid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AFCOS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 xml:space="preserve">Koordinačný útvar pre boj proti podvodom (angl. </w:t>
                  </w:r>
                  <w:proofErr w:type="spellStart"/>
                  <w:r w:rsidRPr="003076C4">
                    <w:t>Anti-fraud</w:t>
                  </w:r>
                  <w:proofErr w:type="spellEnd"/>
                  <w:r w:rsidRPr="003076C4">
                    <w:t xml:space="preserve"> </w:t>
                  </w:r>
                  <w:proofErr w:type="spellStart"/>
                  <w:r w:rsidRPr="003076C4">
                    <w:t>coordination</w:t>
                  </w:r>
                  <w:proofErr w:type="spellEnd"/>
                  <w:r w:rsidRPr="003076C4">
                    <w:t xml:space="preserve"> </w:t>
                  </w:r>
                  <w:proofErr w:type="spellStart"/>
                  <w:r w:rsidRPr="003076C4">
                    <w:t>service</w:t>
                  </w:r>
                  <w:proofErr w:type="spellEnd"/>
                  <w:r w:rsidRPr="003076C4">
                    <w:t>)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CKO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Centrálny koordinačný orgán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CO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Certifikačný orgán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EÚ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Európska únia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FS SR/FR SR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Finančná správa SR/Finančné riaditeľstvo SR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IMS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sym w:font="Symbol" w:char="F02D"/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 xml:space="preserve">Aplikácia, ktorá umožňuje evidovanie a nahlasovanie nezrovnalostí </w:t>
                  </w:r>
                  <w:proofErr w:type="spellStart"/>
                  <w:r w:rsidRPr="003076C4">
                    <w:t>OLAF-om</w:t>
                  </w:r>
                  <w:proofErr w:type="spellEnd"/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MDVRR SR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Ministerstvo dopravy, výstavby a regionálneho rozvoja SR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MF SR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Ministerstvo financií SR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MPRV SR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Ministerstvo pôdohospodárstva a rozvoja vidieka SR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0F30F0" w:rsidRDefault="00860B20" w:rsidP="004A7999">
                  <w:pPr>
                    <w:spacing w:after="80" w:line="276" w:lineRule="auto"/>
                    <w:rPr>
                      <w:b/>
                      <w:highlight w:val="yellow"/>
                    </w:rPr>
                  </w:pPr>
                  <w:r w:rsidRPr="00134F09">
                    <w:rPr>
                      <w:b/>
                    </w:rPr>
                    <w:t xml:space="preserve">NAKA P PZ 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sym w:font="Symbol" w:char="F02D"/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Národná kriminálna agentúra Prezídia Policajného zboru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OCKÚ OLAF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sym w:font="Symbol" w:char="F02D"/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Odbor Centrálny kontaktný útvar pre OLAF sekcie kontroly a boja proti korupcii ÚV SR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>OLAF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sym w:font="Symbol" w:char="F02D"/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 xml:space="preserve">Európsky úrad pre boj proti podvodom (Office </w:t>
                  </w:r>
                  <w:proofErr w:type="spellStart"/>
                  <w:r w:rsidRPr="003076C4">
                    <w:t>Européen</w:t>
                  </w:r>
                  <w:proofErr w:type="spellEnd"/>
                  <w:r w:rsidRPr="003076C4">
                    <w:t xml:space="preserve"> </w:t>
                  </w:r>
                  <w:proofErr w:type="spellStart"/>
                  <w:r w:rsidRPr="003076C4">
                    <w:t>de</w:t>
                  </w:r>
                  <w:proofErr w:type="spellEnd"/>
                  <w:r w:rsidRPr="003076C4">
                    <w:t xml:space="preserve"> </w:t>
                  </w:r>
                  <w:proofErr w:type="spellStart"/>
                  <w:r w:rsidRPr="003076C4">
                    <w:t>Lutte</w:t>
                  </w:r>
                  <w:proofErr w:type="spellEnd"/>
                  <w:r w:rsidRPr="003076C4">
                    <w:t xml:space="preserve"> </w:t>
                  </w:r>
                  <w:proofErr w:type="spellStart"/>
                  <w:r w:rsidRPr="003076C4">
                    <w:t>Anti</w:t>
                  </w:r>
                  <w:proofErr w:type="spellEnd"/>
                  <w:r w:rsidRPr="003076C4">
                    <w:t xml:space="preserve"> - </w:t>
                  </w:r>
                  <w:proofErr w:type="spellStart"/>
                  <w:r w:rsidRPr="003076C4">
                    <w:t>Fraude</w:t>
                  </w:r>
                  <w:proofErr w:type="spellEnd"/>
                  <w:r w:rsidRPr="003076C4">
                    <w:t xml:space="preserve"> (</w:t>
                  </w:r>
                  <w:proofErr w:type="spellStart"/>
                  <w:r w:rsidRPr="003076C4">
                    <w:t>fr</w:t>
                  </w:r>
                  <w:proofErr w:type="spellEnd"/>
                  <w:r w:rsidRPr="003076C4">
                    <w:t xml:space="preserve">.), </w:t>
                  </w:r>
                  <w:proofErr w:type="spellStart"/>
                  <w:r w:rsidRPr="003076C4">
                    <w:t>European</w:t>
                  </w:r>
                  <w:proofErr w:type="spellEnd"/>
                  <w:r w:rsidRPr="003076C4">
                    <w:t xml:space="preserve"> </w:t>
                  </w:r>
                  <w:proofErr w:type="spellStart"/>
                  <w:r w:rsidRPr="003076C4">
                    <w:t>Anti-fraud</w:t>
                  </w:r>
                  <w:proofErr w:type="spellEnd"/>
                  <w:r w:rsidRPr="003076C4">
                    <w:t xml:space="preserve"> </w:t>
                  </w:r>
                  <w:proofErr w:type="spellStart"/>
                  <w:r w:rsidRPr="003076C4">
                    <w:t>office</w:t>
                  </w:r>
                  <w:proofErr w:type="spellEnd"/>
                  <w:r w:rsidRPr="003076C4">
                    <w:t xml:space="preserve"> (angl.)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PPA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Pôdohospodárska platobná agentúra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PSK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sym w:font="Symbol" w:char="F02D"/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Pracovná skupina pre komunikáciu zriadená pod RV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RV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Riadiaci výbor pre ochranu finančných záujmov Európskej únie v Slovenskej republike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SFK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sym w:font="Symbol" w:char="F02D"/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Správ</w:t>
                  </w:r>
                  <w:r w:rsidR="008F212A">
                    <w:t>a</w:t>
                  </w:r>
                  <w:r w:rsidRPr="003076C4">
                    <w:t xml:space="preserve"> finančnej kontroly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Sieť AFCOS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sym w:font="Symbol" w:char="F02D"/>
                  </w:r>
                </w:p>
              </w:tc>
              <w:tc>
                <w:tcPr>
                  <w:tcW w:w="0" w:type="auto"/>
                </w:tcPr>
                <w:p w:rsidR="001E2300" w:rsidRPr="003076C4" w:rsidRDefault="00860B20" w:rsidP="0097198E">
                  <w:pPr>
                    <w:spacing w:after="80"/>
                    <w:jc w:val="both"/>
                  </w:pPr>
                  <w:r w:rsidRPr="003076C4">
                    <w:t xml:space="preserve">Je štruktúra spolupracujúcich orgánov v jednotlivých členských štátoch EÚ, ktorej hlavným cieľom je vzájomná spolupráca pri plnení úloh v oblasti ochrany finančných záujmov EÚ a efektívna komunikácia s </w:t>
                  </w:r>
                  <w:proofErr w:type="spellStart"/>
                  <w:r w:rsidRPr="003076C4">
                    <w:t>OLAF-om</w:t>
                  </w:r>
                  <w:proofErr w:type="spellEnd"/>
                  <w:r w:rsidRPr="003076C4">
                    <w:t xml:space="preserve"> a s ostatnými členskými štátmi EÚ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>SR</w:t>
                  </w:r>
                </w:p>
              </w:tc>
              <w:tc>
                <w:tcPr>
                  <w:tcW w:w="337" w:type="dxa"/>
                </w:tcPr>
                <w:p w:rsidR="00860B20" w:rsidRPr="000F30F0" w:rsidRDefault="00860B20" w:rsidP="004A7999">
                  <w:pPr>
                    <w:spacing w:after="80"/>
                    <w:jc w:val="center"/>
                    <w:rPr>
                      <w:b/>
                    </w:rPr>
                  </w:pPr>
                  <w:r w:rsidRPr="000F30F0">
                    <w:rPr>
                      <w:b/>
                    </w:rPr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Slovenská republika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ŠF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sym w:font="Symbol" w:char="F02D"/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Štrukturálne fondy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KF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sym w:font="Symbol" w:char="F02D"/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Kohézny fond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EFF/EFRH </w:t>
                  </w:r>
                </w:p>
              </w:tc>
              <w:tc>
                <w:tcPr>
                  <w:tcW w:w="337" w:type="dxa"/>
                </w:tcPr>
                <w:p w:rsidR="00860B20" w:rsidRPr="003076C4" w:rsidRDefault="00860B20" w:rsidP="004A7999">
                  <w:pPr>
                    <w:spacing w:after="80"/>
                    <w:jc w:val="center"/>
                  </w:pPr>
                  <w:r w:rsidRPr="003076C4">
                    <w:sym w:font="Symbol" w:char="F02D"/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Európsky fond pre rybné hospodárstvo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ÚV SR </w:t>
                  </w:r>
                </w:p>
              </w:tc>
              <w:tc>
                <w:tcPr>
                  <w:tcW w:w="337" w:type="dxa"/>
                </w:tcPr>
                <w:p w:rsidR="00860B20" w:rsidRPr="000F30F0" w:rsidRDefault="00860B20" w:rsidP="004A7999">
                  <w:pPr>
                    <w:spacing w:after="80"/>
                    <w:jc w:val="center"/>
                    <w:rPr>
                      <w:b/>
                    </w:rPr>
                  </w:pPr>
                  <w:r w:rsidRPr="000F30F0">
                    <w:rPr>
                      <w:b/>
                    </w:rPr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Úrad vlády SR</w:t>
                  </w:r>
                </w:p>
              </w:tc>
            </w:tr>
            <w:tr w:rsidR="00860B20" w:rsidRPr="003076C4" w:rsidTr="004A7999">
              <w:tc>
                <w:tcPr>
                  <w:tcW w:w="1413" w:type="dxa"/>
                </w:tcPr>
                <w:p w:rsidR="00860B20" w:rsidRPr="007E4B70" w:rsidRDefault="00860B20" w:rsidP="004A7999">
                  <w:pPr>
                    <w:spacing w:after="80"/>
                    <w:rPr>
                      <w:b/>
                    </w:rPr>
                  </w:pPr>
                  <w:r w:rsidRPr="007E4B70">
                    <w:rPr>
                      <w:b/>
                    </w:rPr>
                    <w:t xml:space="preserve">ÚVO </w:t>
                  </w:r>
                </w:p>
              </w:tc>
              <w:tc>
                <w:tcPr>
                  <w:tcW w:w="337" w:type="dxa"/>
                </w:tcPr>
                <w:p w:rsidR="00860B20" w:rsidRPr="000F30F0" w:rsidRDefault="00860B20" w:rsidP="004A7999">
                  <w:pPr>
                    <w:spacing w:after="80"/>
                    <w:jc w:val="center"/>
                    <w:rPr>
                      <w:b/>
                    </w:rPr>
                  </w:pPr>
                  <w:r w:rsidRPr="000F30F0">
                    <w:rPr>
                      <w:b/>
                    </w:rPr>
                    <w:t>–</w:t>
                  </w:r>
                </w:p>
              </w:tc>
              <w:tc>
                <w:tcPr>
                  <w:tcW w:w="0" w:type="auto"/>
                </w:tcPr>
                <w:p w:rsidR="00860B20" w:rsidRPr="003076C4" w:rsidRDefault="00860B20" w:rsidP="00994444">
                  <w:pPr>
                    <w:spacing w:after="80"/>
                    <w:jc w:val="both"/>
                  </w:pPr>
                  <w:r w:rsidRPr="003076C4">
                    <w:t>Úrad pre verejné obstarávanie</w:t>
                  </w:r>
                </w:p>
              </w:tc>
            </w:tr>
          </w:tbl>
          <w:p w:rsidR="00860B20" w:rsidRPr="00860B20" w:rsidRDefault="00860B20" w:rsidP="006A2112">
            <w:pPr>
              <w:jc w:val="both"/>
            </w:pPr>
          </w:p>
          <w:p w:rsidR="00C6545A" w:rsidRDefault="00C6545A" w:rsidP="006A2112">
            <w:pPr>
              <w:pStyle w:val="Nadpis1"/>
              <w:jc w:val="both"/>
              <w:outlineLvl w:val="0"/>
            </w:pPr>
          </w:p>
          <w:p w:rsidR="00860B20" w:rsidRDefault="00860B20" w:rsidP="006A2112">
            <w:pPr>
              <w:jc w:val="both"/>
            </w:pPr>
          </w:p>
          <w:p w:rsidR="00860B20" w:rsidRDefault="00860B20" w:rsidP="006A2112">
            <w:pPr>
              <w:jc w:val="both"/>
            </w:pPr>
          </w:p>
          <w:p w:rsidR="00860B20" w:rsidRPr="00860B20" w:rsidRDefault="00860B20" w:rsidP="004A7999">
            <w:pPr>
              <w:jc w:val="both"/>
            </w:pPr>
          </w:p>
        </w:tc>
      </w:tr>
      <w:tr w:rsidR="007F2FB3" w:rsidRPr="0053602D" w:rsidTr="007F2FB3">
        <w:tc>
          <w:tcPr>
            <w:tcW w:w="9212" w:type="dxa"/>
          </w:tcPr>
          <w:p w:rsidR="007F2FB3" w:rsidRPr="0053602D" w:rsidRDefault="007F2FB3" w:rsidP="00D01756">
            <w:pPr>
              <w:jc w:val="both"/>
            </w:pPr>
          </w:p>
        </w:tc>
      </w:tr>
    </w:tbl>
    <w:p w:rsidR="00D3267C" w:rsidRDefault="00D3267C" w:rsidP="00D8377C">
      <w:pPr>
        <w:jc w:val="both"/>
      </w:pPr>
    </w:p>
    <w:p w:rsidR="007F2FB3" w:rsidRPr="00CC0A77" w:rsidRDefault="007F2FB3" w:rsidP="00D8377C">
      <w:pPr>
        <w:jc w:val="both"/>
      </w:pPr>
    </w:p>
    <w:p w:rsidR="0085316E" w:rsidRDefault="00FE021F" w:rsidP="0085316E">
      <w:pPr>
        <w:pStyle w:val="Nadpis1"/>
        <w:numPr>
          <w:ilvl w:val="0"/>
          <w:numId w:val="10"/>
        </w:numPr>
        <w:jc w:val="both"/>
      </w:pPr>
      <w:bookmarkStart w:id="2" w:name="_Toc355097127"/>
      <w:r>
        <w:lastRenderedPageBreak/>
        <w:t>Ochrana finančných záujmov EÚ</w:t>
      </w:r>
      <w:bookmarkEnd w:id="2"/>
      <w:r>
        <w:t xml:space="preserve"> </w:t>
      </w:r>
    </w:p>
    <w:p w:rsidR="0085316E" w:rsidRDefault="0085316E" w:rsidP="00994444">
      <w:pPr>
        <w:ind w:left="720"/>
      </w:pPr>
    </w:p>
    <w:p w:rsidR="005C2029" w:rsidRPr="005C2029" w:rsidRDefault="00B47075" w:rsidP="00E16D6E">
      <w:pPr>
        <w:jc w:val="both"/>
      </w:pPr>
      <w:r>
        <w:t>V </w:t>
      </w:r>
      <w:r w:rsidR="0085316E">
        <w:t xml:space="preserve">súvislosti s čerpaním finančných prostriedkov </w:t>
      </w:r>
      <w:r w:rsidR="00DF2DEE">
        <w:t>EÚ</w:t>
      </w:r>
      <w:r w:rsidR="0085316E">
        <w:t xml:space="preserve"> vyplývajú </w:t>
      </w:r>
      <w:r w:rsidR="00DF2DEE">
        <w:t>SR</w:t>
      </w:r>
      <w:r>
        <w:t xml:space="preserve"> </w:t>
      </w:r>
      <w:r w:rsidR="0085316E">
        <w:t xml:space="preserve">povinnosti súvisiace s ochranou týchto prostriedkov. </w:t>
      </w:r>
      <w:r>
        <w:t xml:space="preserve">Povinnosti </w:t>
      </w:r>
      <w:r w:rsidR="0085316E">
        <w:t>sú zadefinované v článku 325 ods. 2 Zmluvy o fungovaní Európskej únie, a to „</w:t>
      </w:r>
      <w:r w:rsidR="0085316E" w:rsidRPr="0085316E">
        <w:t xml:space="preserve">Členské štáty prijmú rovnaké opatrenia na zamedzenie podvodov poškodzujúcich finančné záujmy </w:t>
      </w:r>
      <w:r w:rsidR="008009DF">
        <w:t>Únie</w:t>
      </w:r>
      <w:r w:rsidR="0085316E" w:rsidRPr="0085316E">
        <w:t>, aké prijímajú na zamedzenie podvodov poškodzujúcich ich vlastné finančné záujmy</w:t>
      </w:r>
      <w:r w:rsidR="0085316E">
        <w:t>“</w:t>
      </w:r>
      <w:r w:rsidR="0085316E" w:rsidRPr="0085316E">
        <w:t>.</w:t>
      </w:r>
    </w:p>
    <w:p w:rsidR="002F276F" w:rsidRDefault="00054796" w:rsidP="007768E3">
      <w:pPr>
        <w:jc w:val="both"/>
        <w:rPr>
          <w:bCs/>
        </w:rPr>
      </w:pPr>
      <w:r>
        <w:rPr>
          <w:bCs/>
        </w:rPr>
        <w:t xml:space="preserve">SR </w:t>
      </w:r>
      <w:r w:rsidR="00354898" w:rsidRPr="007768E3">
        <w:rPr>
          <w:bCs/>
        </w:rPr>
        <w:t xml:space="preserve">ako členský štát </w:t>
      </w:r>
      <w:r>
        <w:rPr>
          <w:bCs/>
        </w:rPr>
        <w:t xml:space="preserve">EÚ </w:t>
      </w:r>
      <w:r w:rsidR="00354898" w:rsidRPr="007768E3">
        <w:rPr>
          <w:bCs/>
        </w:rPr>
        <w:t xml:space="preserve">získava finančné prostriedky z rozpočtu </w:t>
      </w:r>
      <w:r w:rsidR="00777E39">
        <w:rPr>
          <w:bCs/>
        </w:rPr>
        <w:t>EÚ</w:t>
      </w:r>
      <w:r w:rsidR="00354898" w:rsidRPr="00136DA6">
        <w:rPr>
          <w:bCs/>
        </w:rPr>
        <w:t xml:space="preserve">. </w:t>
      </w:r>
      <w:r w:rsidR="002F276F">
        <w:rPr>
          <w:bCs/>
        </w:rPr>
        <w:t>Z</w:t>
      </w:r>
      <w:r w:rsidR="002F276F" w:rsidRPr="002F276F">
        <w:rPr>
          <w:bCs/>
        </w:rPr>
        <w:t>ároveň do rozpočtu EÚ finančné prostriedky aj</w:t>
      </w:r>
      <w:r w:rsidR="002F276F">
        <w:rPr>
          <w:bCs/>
        </w:rPr>
        <w:t xml:space="preserve"> odvádza</w:t>
      </w:r>
      <w:r w:rsidR="00B47075">
        <w:rPr>
          <w:bCs/>
        </w:rPr>
        <w:t>,</w:t>
      </w:r>
      <w:r w:rsidR="002F276F">
        <w:rPr>
          <w:bCs/>
        </w:rPr>
        <w:t xml:space="preserve"> a to </w:t>
      </w:r>
      <w:r w:rsidR="002F276F" w:rsidRPr="002F276F">
        <w:rPr>
          <w:bCs/>
        </w:rPr>
        <w:t>vo forme poľnohospodárskych poplatkov, odvodov z produkcie cukru a ciel a zároveň do rozpočtu EÚ odvádza zo svojho štátneho rozpočtu časť finančných prostriedkov, ktorých objem je odvodený od celkového objemu prostriedkov vybraných vo forme dane z pridanej hodnoty a od výšky dosiahnutého hrubého domáceho produktu.</w:t>
      </w:r>
    </w:p>
    <w:p w:rsidR="008B1F8A" w:rsidRDefault="008B1F8A" w:rsidP="007768E3">
      <w:pPr>
        <w:jc w:val="both"/>
        <w:rPr>
          <w:bCs/>
        </w:rPr>
      </w:pPr>
      <w:r>
        <w:rPr>
          <w:bCs/>
        </w:rPr>
        <w:t xml:space="preserve">Oblasť </w:t>
      </w:r>
      <w:r w:rsidRPr="008B1F8A">
        <w:rPr>
          <w:bCs/>
        </w:rPr>
        <w:t>systému riadenia a kontroly prostriedkov poskytovaných z fondov Európskej únie</w:t>
      </w:r>
      <w:r w:rsidR="00092260">
        <w:rPr>
          <w:rStyle w:val="Odkaznapoznmkupodiarou"/>
          <w:bCs/>
        </w:rPr>
        <w:footnoteReference w:id="3"/>
      </w:r>
      <w:r w:rsidRPr="008B1F8A">
        <w:rPr>
          <w:bCs/>
        </w:rPr>
        <w:t xml:space="preserve"> a prostriedkov štátneho rozpočtu určených na financovanie spoločných programov Slovenskej republiky a Európskej únie </w:t>
      </w:r>
      <w:r w:rsidR="00947A86">
        <w:rPr>
          <w:bCs/>
        </w:rPr>
        <w:t xml:space="preserve">a oblasť ochrany finančných záujmov Európskej únie </w:t>
      </w:r>
      <w:r>
        <w:rPr>
          <w:bCs/>
        </w:rPr>
        <w:t xml:space="preserve">upravuje </w:t>
      </w:r>
      <w:r w:rsidR="008F212A">
        <w:rPr>
          <w:bCs/>
        </w:rPr>
        <w:t>z</w:t>
      </w:r>
      <w:r>
        <w:rPr>
          <w:bCs/>
        </w:rPr>
        <w:t>á</w:t>
      </w:r>
      <w:r w:rsidR="00970FCF" w:rsidRPr="00651CD1">
        <w:rPr>
          <w:bCs/>
        </w:rPr>
        <w:t xml:space="preserve">kon </w:t>
      </w:r>
      <w:r w:rsidR="00E273F2" w:rsidRPr="00651CD1">
        <w:rPr>
          <w:bCs/>
        </w:rPr>
        <w:t xml:space="preserve">č. 528/2008 Z. z. </w:t>
      </w:r>
      <w:r w:rsidR="00970FCF" w:rsidRPr="00651CD1">
        <w:rPr>
          <w:bCs/>
        </w:rPr>
        <w:t>o pomoci a podpore poskytovanej z fondov Európske</w:t>
      </w:r>
      <w:r w:rsidR="008F212A">
        <w:rPr>
          <w:bCs/>
        </w:rPr>
        <w:t>ho</w:t>
      </w:r>
      <w:r w:rsidR="00970FCF" w:rsidRPr="00651CD1">
        <w:rPr>
          <w:bCs/>
        </w:rPr>
        <w:t xml:space="preserve"> </w:t>
      </w:r>
      <w:r w:rsidR="008F212A">
        <w:rPr>
          <w:bCs/>
        </w:rPr>
        <w:t xml:space="preserve">spoločenstva </w:t>
      </w:r>
      <w:r w:rsidR="00970FCF" w:rsidRPr="00651CD1">
        <w:rPr>
          <w:bCs/>
        </w:rPr>
        <w:t xml:space="preserve">únie </w:t>
      </w:r>
      <w:r>
        <w:rPr>
          <w:bCs/>
        </w:rPr>
        <w:t>v znení neskorších predpisov</w:t>
      </w:r>
      <w:r w:rsidR="00142483">
        <w:rPr>
          <w:bCs/>
        </w:rPr>
        <w:t xml:space="preserve"> (ďalej len „zákon o pomoci a podpore“)</w:t>
      </w:r>
      <w:r>
        <w:rPr>
          <w:bCs/>
        </w:rPr>
        <w:t xml:space="preserve">. </w:t>
      </w:r>
    </w:p>
    <w:p w:rsidR="008F212A" w:rsidRPr="007768E3" w:rsidRDefault="008F212A" w:rsidP="007768E3">
      <w:pPr>
        <w:jc w:val="both"/>
        <w:rPr>
          <w:bCs/>
        </w:rPr>
      </w:pPr>
      <w:r>
        <w:rPr>
          <w:bCs/>
        </w:rPr>
        <w:t>Ochrana finančných záujmov zahŕňa prevenciu, odhaľovanie, zisťovanie a riešenie nezrovnalostí</w:t>
      </w:r>
      <w:r>
        <w:rPr>
          <w:rStyle w:val="Odkaznapoznmkupodiarou"/>
          <w:bCs/>
        </w:rPr>
        <w:footnoteReference w:id="4"/>
      </w:r>
      <w:r>
        <w:rPr>
          <w:bCs/>
        </w:rPr>
        <w:t>, prijímanie nápravných opatrení vo forme finančných opráv a </w:t>
      </w:r>
      <w:proofErr w:type="spellStart"/>
      <w:r>
        <w:rPr>
          <w:bCs/>
        </w:rPr>
        <w:t>vysporiadania</w:t>
      </w:r>
      <w:proofErr w:type="spellEnd"/>
      <w:r>
        <w:rPr>
          <w:bCs/>
        </w:rPr>
        <w:t xml:space="preserve"> finančných vzťahov a iných nápravných opatrení. </w:t>
      </w:r>
    </w:p>
    <w:p w:rsidR="00CE5C50" w:rsidRDefault="00CE5C50" w:rsidP="00CE5C50">
      <w:pPr>
        <w:jc w:val="both"/>
        <w:rPr>
          <w:bCs/>
        </w:rPr>
      </w:pPr>
      <w:r w:rsidRPr="000C243A">
        <w:rPr>
          <w:b/>
          <w:bCs/>
        </w:rPr>
        <w:t xml:space="preserve">Cieľom </w:t>
      </w:r>
      <w:r w:rsidRPr="000136BB">
        <w:rPr>
          <w:b/>
          <w:bCs/>
        </w:rPr>
        <w:t xml:space="preserve">ochrany finančných záujmov EÚ </w:t>
      </w:r>
      <w:r w:rsidRPr="000C243A">
        <w:rPr>
          <w:bCs/>
        </w:rPr>
        <w:t xml:space="preserve">v Slovenskej republike </w:t>
      </w:r>
      <w:r w:rsidR="002F276F">
        <w:rPr>
          <w:bCs/>
        </w:rPr>
        <w:t xml:space="preserve">je zároveň </w:t>
      </w:r>
      <w:r w:rsidRPr="000C243A">
        <w:rPr>
          <w:bCs/>
        </w:rPr>
        <w:t>zvýšiť dôveru verejnosti v inštitúcie a orgány SR a dať verejnosti istotu, že peniaze Európskej únie a jej daňovníkov sa vynakladajú a využívajú správne</w:t>
      </w:r>
      <w:r w:rsidR="008B1F8A">
        <w:rPr>
          <w:bCs/>
        </w:rPr>
        <w:t xml:space="preserve"> a efektívne</w:t>
      </w:r>
      <w:r w:rsidRPr="000C243A">
        <w:rPr>
          <w:bCs/>
        </w:rPr>
        <w:t>.</w:t>
      </w:r>
    </w:p>
    <w:p w:rsidR="007E3234" w:rsidRDefault="007E3234" w:rsidP="00CE5C50">
      <w:pPr>
        <w:jc w:val="both"/>
        <w:rPr>
          <w:bCs/>
        </w:rPr>
      </w:pPr>
    </w:p>
    <w:p w:rsidR="00523B14" w:rsidRDefault="00523B14" w:rsidP="00CE5C50">
      <w:pPr>
        <w:jc w:val="both"/>
        <w:rPr>
          <w:bCs/>
        </w:rPr>
      </w:pPr>
    </w:p>
    <w:p w:rsidR="00523B14" w:rsidRDefault="00523B14" w:rsidP="00CE5C50">
      <w:pPr>
        <w:jc w:val="both"/>
        <w:rPr>
          <w:bCs/>
        </w:rPr>
      </w:pPr>
    </w:p>
    <w:p w:rsidR="00BA0036" w:rsidRPr="000C243A" w:rsidRDefault="00BA0036" w:rsidP="00CE5C50">
      <w:pPr>
        <w:jc w:val="both"/>
        <w:rPr>
          <w:bCs/>
        </w:rPr>
      </w:pPr>
    </w:p>
    <w:p w:rsidR="007A248F" w:rsidRDefault="005C2029" w:rsidP="000C243A">
      <w:pPr>
        <w:pStyle w:val="Nadpis2"/>
      </w:pPr>
      <w:bookmarkStart w:id="3" w:name="_Toc355097128"/>
      <w:r>
        <w:lastRenderedPageBreak/>
        <w:t>3.</w:t>
      </w:r>
      <w:r w:rsidR="000C243A">
        <w:t>1</w:t>
      </w:r>
      <w:r w:rsidR="007A248F" w:rsidRPr="007A248F">
        <w:t> </w:t>
      </w:r>
      <w:r w:rsidR="007A248F" w:rsidRPr="000C243A">
        <w:t xml:space="preserve">Spolupráca </w:t>
      </w:r>
      <w:r w:rsidR="001E764E">
        <w:t xml:space="preserve">medzi </w:t>
      </w:r>
      <w:r w:rsidR="00054796">
        <w:t xml:space="preserve">OCKÚ OLAF </w:t>
      </w:r>
      <w:r w:rsidR="00994444">
        <w:t>a</w:t>
      </w:r>
      <w:r w:rsidR="005122DB">
        <w:t> </w:t>
      </w:r>
      <w:proofErr w:type="spellStart"/>
      <w:r w:rsidR="005122DB">
        <w:t>OLAF-om</w:t>
      </w:r>
      <w:proofErr w:type="spellEnd"/>
      <w:r w:rsidR="005122DB">
        <w:t xml:space="preserve"> </w:t>
      </w:r>
      <w:r w:rsidR="00054796">
        <w:t>a</w:t>
      </w:r>
      <w:r w:rsidR="00994444">
        <w:t xml:space="preserve"> so </w:t>
      </w:r>
      <w:r w:rsidR="007A248F" w:rsidRPr="000C243A">
        <w:t>sieťový</w:t>
      </w:r>
      <w:r w:rsidR="00B03C80">
        <w:t xml:space="preserve">mi </w:t>
      </w:r>
      <w:r w:rsidR="007A248F" w:rsidRPr="000C243A">
        <w:t>partner</w:t>
      </w:r>
      <w:r w:rsidR="00B03C80">
        <w:t>mi</w:t>
      </w:r>
      <w:bookmarkEnd w:id="3"/>
      <w:r w:rsidR="007A248F" w:rsidRPr="000C243A">
        <w:t xml:space="preserve"> </w:t>
      </w:r>
    </w:p>
    <w:p w:rsidR="005C2029" w:rsidRDefault="005C2029" w:rsidP="00D6427C"/>
    <w:p w:rsidR="007A248F" w:rsidRDefault="005122DB" w:rsidP="00092260">
      <w:pPr>
        <w:jc w:val="both"/>
        <w:rPr>
          <w:bCs/>
        </w:rPr>
      </w:pPr>
      <w:r>
        <w:t>OLAF (Európsky úrad pre boj proti podvodom</w:t>
      </w:r>
      <w:r w:rsidR="007F4A4C">
        <w:t>)</w:t>
      </w:r>
      <w:r>
        <w:t xml:space="preserve"> je nezávislá inštitúcia Európskej komisie.</w:t>
      </w:r>
      <w:r w:rsidR="00092260">
        <w:t xml:space="preserve"> </w:t>
      </w:r>
      <w:r>
        <w:t>Jeho úlohou je c</w:t>
      </w:r>
      <w:r w:rsidR="007A248F" w:rsidRPr="007A248F">
        <w:rPr>
          <w:bCs/>
        </w:rPr>
        <w:t>hrániť finančné záujmy Európskej únie prostredníctvom boja proti podvodom, korupcii</w:t>
      </w:r>
      <w:r w:rsidR="007A248F">
        <w:rPr>
          <w:bCs/>
        </w:rPr>
        <w:t xml:space="preserve"> a iným nezákonným činnostiam, </w:t>
      </w:r>
      <w:r w:rsidR="007F4A4C">
        <w:rPr>
          <w:bCs/>
        </w:rPr>
        <w:t xml:space="preserve">vrátane zneužitia úradnej moci v rámci európskych inštitúcií prostredníctvom výkonu interných a externých administratívnych vyšetrovaní. </w:t>
      </w:r>
      <w:r w:rsidR="00054796">
        <w:rPr>
          <w:bCs/>
        </w:rPr>
        <w:t xml:space="preserve"> </w:t>
      </w:r>
    </w:p>
    <w:p w:rsidR="003F4A41" w:rsidRPr="00B55DB5" w:rsidRDefault="003F4A41" w:rsidP="00092260">
      <w:pPr>
        <w:jc w:val="both"/>
        <w:rPr>
          <w:bCs/>
          <w:highlight w:val="yellow"/>
        </w:rPr>
      </w:pPr>
    </w:p>
    <w:p w:rsidR="007F4A4C" w:rsidRDefault="007F4A4C" w:rsidP="00994444">
      <w:pPr>
        <w:pStyle w:val="Nadpis2"/>
      </w:pPr>
      <w:bookmarkStart w:id="4" w:name="_Toc355097129"/>
      <w:r>
        <w:t>3.1.1. Spolupráca OCKÚ OLAF s </w:t>
      </w:r>
      <w:proofErr w:type="spellStart"/>
      <w:r>
        <w:t>OLAF-om</w:t>
      </w:r>
      <w:bookmarkEnd w:id="4"/>
      <w:proofErr w:type="spellEnd"/>
    </w:p>
    <w:p w:rsidR="007F4A4C" w:rsidRDefault="007F4A4C" w:rsidP="007F4A4C">
      <w:pPr>
        <w:jc w:val="both"/>
      </w:pPr>
      <w:r w:rsidRPr="000C243A">
        <w:t>OCKÚ OLAF</w:t>
      </w:r>
      <w:r>
        <w:t xml:space="preserve"> </w:t>
      </w:r>
      <w:r w:rsidRPr="000C243A">
        <w:rPr>
          <w:b/>
        </w:rPr>
        <w:t>je prvým miestom kontaktu pre OLAF</w:t>
      </w:r>
      <w:r w:rsidRPr="000C243A">
        <w:t xml:space="preserve"> v Slovenskej republike</w:t>
      </w:r>
      <w:r w:rsidRPr="00713903">
        <w:t xml:space="preserve"> </w:t>
      </w:r>
      <w:r>
        <w:t xml:space="preserve">a </w:t>
      </w:r>
      <w:r w:rsidRPr="00994444">
        <w:t>plní funkciu</w:t>
      </w:r>
      <w:r w:rsidRPr="005D5D00">
        <w:rPr>
          <w:b/>
        </w:rPr>
        <w:t xml:space="preserve"> koordinačného útvaru pre boj proti podvodom</w:t>
      </w:r>
      <w:r>
        <w:rPr>
          <w:b/>
        </w:rPr>
        <w:t xml:space="preserve"> </w:t>
      </w:r>
      <w:r w:rsidRPr="00FA5D3A">
        <w:t>v Slovenskej republike</w:t>
      </w:r>
      <w:r w:rsidR="008F212A">
        <w:t xml:space="preserve"> - AFCOS</w:t>
      </w:r>
      <w:r w:rsidRPr="00FA5D3A">
        <w:t>.</w:t>
      </w:r>
    </w:p>
    <w:p w:rsidR="007F4A4C" w:rsidRDefault="007F4A4C" w:rsidP="007F4A4C">
      <w:pPr>
        <w:jc w:val="both"/>
      </w:pPr>
      <w:r>
        <w:t xml:space="preserve">OCKÚ OLAF (AFCOS) </w:t>
      </w:r>
      <w:r w:rsidRPr="00EA34DF">
        <w:t>spolupracuje s</w:t>
      </w:r>
      <w:r>
        <w:t> </w:t>
      </w:r>
      <w:proofErr w:type="spellStart"/>
      <w:r>
        <w:t>OLAF-om</w:t>
      </w:r>
      <w:proofErr w:type="spellEnd"/>
      <w:r w:rsidRPr="00EA34DF">
        <w:t xml:space="preserve"> ako aj s </w:t>
      </w:r>
      <w:r w:rsidRPr="00755E8F">
        <w:t>vecne príslušnými orgánmi verejnej správy</w:t>
      </w:r>
      <w:r w:rsidRPr="00777E39">
        <w:t>, ktorých</w:t>
      </w:r>
      <w:r w:rsidRPr="00EA34DF">
        <w:t xml:space="preserve"> združuje do</w:t>
      </w:r>
      <w:r>
        <w:t xml:space="preserve"> </w:t>
      </w:r>
      <w:r w:rsidRPr="00EA34DF">
        <w:t xml:space="preserve">siete kontaktných pracovísk </w:t>
      </w:r>
      <w:proofErr w:type="spellStart"/>
      <w:r w:rsidRPr="00EA34DF">
        <w:t>AFCOS</w:t>
      </w:r>
      <w:r>
        <w:t>-u</w:t>
      </w:r>
      <w:proofErr w:type="spellEnd"/>
      <w:r w:rsidRPr="00EA34DF">
        <w:t xml:space="preserve"> a koordinuje ich činnosti súvisiace s</w:t>
      </w:r>
      <w:r>
        <w:t> </w:t>
      </w:r>
      <w:r w:rsidRPr="00EA34DF">
        <w:t>ochranou</w:t>
      </w:r>
      <w:r>
        <w:t xml:space="preserve"> </w:t>
      </w:r>
      <w:r w:rsidRPr="00EA34DF">
        <w:t>finančných záujmov Európskej únie</w:t>
      </w:r>
      <w:r>
        <w:t>.</w:t>
      </w:r>
    </w:p>
    <w:p w:rsidR="00EA4599" w:rsidRDefault="00B03C80" w:rsidP="002F276F">
      <w:pPr>
        <w:jc w:val="both"/>
        <w:rPr>
          <w:bCs/>
        </w:rPr>
      </w:pPr>
      <w:r w:rsidRPr="00755E8F">
        <w:rPr>
          <w:bCs/>
        </w:rPr>
        <w:t xml:space="preserve">OCKÚ OLAF ako orgán zabezpečujúci ochranu finančných záujmov </w:t>
      </w:r>
      <w:r w:rsidR="00D9015C" w:rsidRPr="00755E8F">
        <w:rPr>
          <w:bCs/>
        </w:rPr>
        <w:t xml:space="preserve">podľa zákona </w:t>
      </w:r>
      <w:r w:rsidR="00E273F2" w:rsidRPr="00777E39">
        <w:rPr>
          <w:bCs/>
        </w:rPr>
        <w:t xml:space="preserve">o pomoci a podpore </w:t>
      </w:r>
      <w:r w:rsidRPr="00755E8F">
        <w:rPr>
          <w:bCs/>
        </w:rPr>
        <w:t xml:space="preserve">koordinuje ochranu finančných záujmov vykonávanú subjektmi verejnej správy.  </w:t>
      </w:r>
    </w:p>
    <w:p w:rsidR="00B03C80" w:rsidRPr="002F276F" w:rsidRDefault="00B03C80" w:rsidP="002F276F">
      <w:pPr>
        <w:jc w:val="both"/>
        <w:rPr>
          <w:bCs/>
        </w:rPr>
      </w:pPr>
      <w:r w:rsidRPr="00755E8F">
        <w:rPr>
          <w:bCs/>
        </w:rPr>
        <w:t>OCKÚ OLAF zabezpečuje, koordinuje a monitoruje výmenu informácií medzi subjektmi verejnej správy a vo vzťahu k</w:t>
      </w:r>
      <w:r w:rsidR="00CC0A77">
        <w:rPr>
          <w:bCs/>
        </w:rPr>
        <w:t> </w:t>
      </w:r>
      <w:proofErr w:type="spellStart"/>
      <w:r w:rsidR="000136BB" w:rsidRPr="00755E8F">
        <w:rPr>
          <w:bCs/>
        </w:rPr>
        <w:t>OLAF</w:t>
      </w:r>
      <w:r w:rsidR="00CC0A77">
        <w:rPr>
          <w:bCs/>
        </w:rPr>
        <w:t>-</w:t>
      </w:r>
      <w:r w:rsidR="000136BB" w:rsidRPr="00755E8F">
        <w:rPr>
          <w:bCs/>
        </w:rPr>
        <w:t>u</w:t>
      </w:r>
      <w:proofErr w:type="spellEnd"/>
      <w:r w:rsidR="00142483">
        <w:rPr>
          <w:bCs/>
        </w:rPr>
        <w:t>,</w:t>
      </w:r>
      <w:r w:rsidRPr="00755E8F">
        <w:rPr>
          <w:bCs/>
        </w:rPr>
        <w:t xml:space="preserve"> ak ide o podozrenia z podvodov a ďalších protiprávnych konaní pri poskytovaní a použití pomoci alebo podpory</w:t>
      </w:r>
      <w:r w:rsidR="00CF4D2A">
        <w:rPr>
          <w:bCs/>
        </w:rPr>
        <w:t xml:space="preserve"> na základe dožiadaní zaslaných z </w:t>
      </w:r>
      <w:proofErr w:type="spellStart"/>
      <w:r w:rsidR="00CF4D2A">
        <w:rPr>
          <w:bCs/>
        </w:rPr>
        <w:t>OLAF-u</w:t>
      </w:r>
      <w:proofErr w:type="spellEnd"/>
      <w:r w:rsidRPr="00755E8F">
        <w:rPr>
          <w:bCs/>
        </w:rPr>
        <w:t>.</w:t>
      </w:r>
    </w:p>
    <w:p w:rsidR="0017085F" w:rsidRDefault="00C247E6" w:rsidP="00136DA6">
      <w:pPr>
        <w:spacing w:after="0"/>
        <w:ind w:right="-30"/>
        <w:jc w:val="both"/>
      </w:pPr>
      <w:r>
        <w:t xml:space="preserve">OCKÚ OLAF prijíma a spracúva informácie od </w:t>
      </w:r>
      <w:proofErr w:type="spellStart"/>
      <w:r>
        <w:t>OLAF-u</w:t>
      </w:r>
      <w:proofErr w:type="spellEnd"/>
      <w:r>
        <w:t xml:space="preserve">, ktoré môžu indikovať podozrenie, že došlo k protiprávnemu konaniu ohrozujúcemu finančné záujmy Európskej únie, ktorého riešenie patrí do právomoci orgánov Slovenskej republiky. </w:t>
      </w:r>
    </w:p>
    <w:p w:rsidR="00EA4599" w:rsidRDefault="00EA4599" w:rsidP="00136DA6">
      <w:pPr>
        <w:spacing w:after="0"/>
        <w:ind w:right="-30"/>
        <w:jc w:val="both"/>
      </w:pPr>
    </w:p>
    <w:p w:rsidR="00777E39" w:rsidRDefault="001D3ED8" w:rsidP="00136DA6">
      <w:pPr>
        <w:spacing w:after="0"/>
        <w:ind w:right="-30"/>
        <w:jc w:val="both"/>
      </w:pPr>
      <w:r>
        <w:t>OCKÚ OLAF p</w:t>
      </w:r>
      <w:r w:rsidR="00C247E6">
        <w:t xml:space="preserve">oskytuje </w:t>
      </w:r>
      <w:proofErr w:type="spellStart"/>
      <w:r w:rsidR="00C247E6">
        <w:t>OLAF-u</w:t>
      </w:r>
      <w:proofErr w:type="spellEnd"/>
      <w:r w:rsidR="00C247E6">
        <w:t xml:space="preserve"> </w:t>
      </w:r>
      <w:r w:rsidR="00C247E6" w:rsidRPr="00994444">
        <w:rPr>
          <w:b/>
        </w:rPr>
        <w:t xml:space="preserve">informácie </w:t>
      </w:r>
      <w:r w:rsidR="00C247E6">
        <w:t xml:space="preserve">o výsledku kontrol, vyšetrovaní a ďalších konaní súvisiacich so zisťovaním a postihom protiprávnych konaní v prípadoch, v ktorých sú alebo mohli byť </w:t>
      </w:r>
      <w:r w:rsidR="00C247E6" w:rsidRPr="004A0447">
        <w:t>poškodené finančné záujmy Európskej únie</w:t>
      </w:r>
      <w:r w:rsidR="00CF4D2A">
        <w:t xml:space="preserve"> a </w:t>
      </w:r>
      <w:r w:rsidR="00CF4D2A" w:rsidRPr="00994444">
        <w:rPr>
          <w:b/>
        </w:rPr>
        <w:t>ktoré získava od sieťových partnerov</w:t>
      </w:r>
      <w:r w:rsidR="00C247E6" w:rsidRPr="004A0447">
        <w:t>.</w:t>
      </w:r>
      <w:r w:rsidR="00C247E6">
        <w:t xml:space="preserve"> </w:t>
      </w:r>
    </w:p>
    <w:p w:rsidR="00777E39" w:rsidRDefault="00777E39" w:rsidP="00136DA6">
      <w:pPr>
        <w:spacing w:after="0"/>
        <w:ind w:right="-30"/>
        <w:jc w:val="both"/>
      </w:pPr>
    </w:p>
    <w:p w:rsidR="00C247E6" w:rsidRDefault="00C247E6" w:rsidP="00136DA6">
      <w:pPr>
        <w:spacing w:after="0"/>
        <w:ind w:right="-30"/>
        <w:jc w:val="both"/>
      </w:pPr>
      <w:r>
        <w:t xml:space="preserve">OCKÚ OLAF poskytuje súčinnosť </w:t>
      </w:r>
      <w:proofErr w:type="spellStart"/>
      <w:r>
        <w:t>OLAF-u</w:t>
      </w:r>
      <w:proofErr w:type="spellEnd"/>
      <w:r>
        <w:t xml:space="preserve"> pri administratívnom vyšetrovaní vedenom jeho inšpektormi v Slovenskej republike. </w:t>
      </w:r>
    </w:p>
    <w:p w:rsidR="003F4A41" w:rsidRDefault="003F4A41" w:rsidP="00136DA6">
      <w:pPr>
        <w:spacing w:after="0"/>
        <w:ind w:right="-30"/>
        <w:jc w:val="both"/>
      </w:pPr>
    </w:p>
    <w:p w:rsidR="003F4A41" w:rsidRDefault="003F4A41" w:rsidP="00136DA6">
      <w:pPr>
        <w:spacing w:after="0"/>
        <w:ind w:right="-30"/>
        <w:jc w:val="both"/>
      </w:pPr>
    </w:p>
    <w:p w:rsidR="003F4A41" w:rsidRDefault="003F4A41" w:rsidP="00136DA6">
      <w:pPr>
        <w:spacing w:after="0"/>
        <w:ind w:right="-30"/>
        <w:jc w:val="both"/>
      </w:pPr>
    </w:p>
    <w:p w:rsidR="003F4A41" w:rsidRDefault="003F4A41" w:rsidP="00136DA6">
      <w:pPr>
        <w:spacing w:after="0"/>
        <w:ind w:right="-30"/>
        <w:jc w:val="both"/>
      </w:pPr>
    </w:p>
    <w:p w:rsidR="0097198E" w:rsidRDefault="0097198E" w:rsidP="00136DA6">
      <w:pPr>
        <w:spacing w:after="0"/>
        <w:ind w:right="-30"/>
        <w:jc w:val="both"/>
      </w:pPr>
    </w:p>
    <w:p w:rsidR="0097198E" w:rsidRDefault="0097198E" w:rsidP="00136DA6">
      <w:pPr>
        <w:spacing w:after="0"/>
        <w:ind w:right="-30"/>
        <w:jc w:val="both"/>
      </w:pPr>
    </w:p>
    <w:p w:rsidR="0097198E" w:rsidRDefault="0097198E" w:rsidP="00136DA6">
      <w:pPr>
        <w:spacing w:after="0"/>
        <w:ind w:right="-30"/>
        <w:jc w:val="both"/>
      </w:pPr>
    </w:p>
    <w:p w:rsidR="003F4A41" w:rsidRDefault="003F4A41" w:rsidP="00136DA6">
      <w:pPr>
        <w:spacing w:after="0"/>
        <w:ind w:right="-30"/>
        <w:jc w:val="both"/>
      </w:pPr>
    </w:p>
    <w:p w:rsidR="003F4A41" w:rsidRDefault="003F4A41" w:rsidP="00136DA6">
      <w:pPr>
        <w:spacing w:after="0"/>
        <w:ind w:right="-30"/>
        <w:jc w:val="both"/>
      </w:pPr>
    </w:p>
    <w:p w:rsidR="003F4A41" w:rsidRDefault="003F4A41" w:rsidP="00136DA6">
      <w:pPr>
        <w:spacing w:after="0"/>
        <w:ind w:right="-30"/>
        <w:jc w:val="both"/>
      </w:pPr>
    </w:p>
    <w:p w:rsidR="003F4A41" w:rsidRDefault="003F4A41" w:rsidP="00136DA6">
      <w:pPr>
        <w:spacing w:after="0"/>
        <w:ind w:right="-30"/>
        <w:jc w:val="both"/>
      </w:pPr>
    </w:p>
    <w:p w:rsidR="009C0F33" w:rsidRDefault="009C0F33" w:rsidP="00136DA6">
      <w:pPr>
        <w:spacing w:after="0"/>
        <w:ind w:right="-30"/>
        <w:jc w:val="both"/>
      </w:pPr>
    </w:p>
    <w:p w:rsidR="00BA57B0" w:rsidRDefault="00BA57B0" w:rsidP="00136DA6">
      <w:pPr>
        <w:spacing w:after="0"/>
        <w:ind w:right="-30"/>
        <w:jc w:val="both"/>
      </w:pPr>
    </w:p>
    <w:p w:rsidR="001D3ED8" w:rsidRDefault="001D3ED8" w:rsidP="00FA5D3A">
      <w:pPr>
        <w:pStyle w:val="Nadpis2"/>
      </w:pPr>
      <w:bookmarkStart w:id="5" w:name="_Toc355097130"/>
      <w:r>
        <w:t>3.1.2. Spolupráca OCKÚ OLAF so sieťovými partnermi</w:t>
      </w:r>
      <w:bookmarkEnd w:id="5"/>
    </w:p>
    <w:p w:rsidR="009C57A8" w:rsidRDefault="009C57A8" w:rsidP="004A0447">
      <w:pPr>
        <w:spacing w:after="0" w:line="240" w:lineRule="auto"/>
        <w:ind w:right="-30"/>
        <w:jc w:val="both"/>
      </w:pPr>
    </w:p>
    <w:p w:rsidR="00084F59" w:rsidRPr="00470500" w:rsidRDefault="001D3ED8" w:rsidP="004A0447">
      <w:pPr>
        <w:spacing w:line="240" w:lineRule="auto"/>
        <w:jc w:val="both"/>
      </w:pPr>
      <w:r>
        <w:t xml:space="preserve">V Slovenskej republike </w:t>
      </w:r>
      <w:r w:rsidRPr="00470500">
        <w:t xml:space="preserve">OCKÚ OLAF </w:t>
      </w:r>
      <w:r>
        <w:t>n</w:t>
      </w:r>
      <w:r w:rsidR="00084F59" w:rsidRPr="00470500">
        <w:t>a účely ochrany finančných záujmov Európskej únie:</w:t>
      </w:r>
    </w:p>
    <w:p w:rsidR="00084F59" w:rsidRPr="00470500" w:rsidRDefault="00084F59" w:rsidP="004A0447">
      <w:pPr>
        <w:numPr>
          <w:ilvl w:val="0"/>
          <w:numId w:val="6"/>
        </w:numPr>
        <w:spacing w:line="240" w:lineRule="auto"/>
        <w:jc w:val="both"/>
      </w:pPr>
      <w:r w:rsidRPr="00470500">
        <w:t>koordinuje potrebné legislatívne, administratívne a operatívne opatrenia</w:t>
      </w:r>
      <w:r w:rsidR="000F7BDC" w:rsidRPr="000F7BDC">
        <w:t xml:space="preserve"> </w:t>
      </w:r>
      <w:r w:rsidR="000F7BDC">
        <w:t>zamerané na boj proti podvodom pri čerpaní finančných prostriedkov Európskej únie</w:t>
      </w:r>
      <w:r w:rsidRPr="00470500">
        <w:t>,</w:t>
      </w:r>
    </w:p>
    <w:p w:rsidR="00CC0A77" w:rsidRDefault="00084F59" w:rsidP="00BE7059">
      <w:pPr>
        <w:numPr>
          <w:ilvl w:val="0"/>
          <w:numId w:val="6"/>
        </w:numPr>
        <w:spacing w:line="240" w:lineRule="auto"/>
        <w:jc w:val="both"/>
      </w:pPr>
      <w:r w:rsidRPr="00470500">
        <w:t>zabezpečuje spoluprácu medzi všetkými zainteresovanými stranami</w:t>
      </w:r>
      <w:r w:rsidR="00142483">
        <w:t>,</w:t>
      </w:r>
      <w:r w:rsidRPr="00470500">
        <w:t xml:space="preserve"> </w:t>
      </w:r>
      <w:r w:rsidR="00207601">
        <w:t xml:space="preserve">t.j. medzi </w:t>
      </w:r>
      <w:r w:rsidR="00207601" w:rsidRPr="00F55FF6">
        <w:t xml:space="preserve">orgánmi a inštitúciami </w:t>
      </w:r>
      <w:r w:rsidR="00207601">
        <w:t xml:space="preserve">v </w:t>
      </w:r>
      <w:r w:rsidR="00207601" w:rsidRPr="00F55FF6">
        <w:t>SR zapojenými do systému tejto ochrany –</w:t>
      </w:r>
      <w:r w:rsidR="00207601">
        <w:t xml:space="preserve"> </w:t>
      </w:r>
      <w:r w:rsidR="00207601" w:rsidRPr="00F55FF6">
        <w:t>sie</w:t>
      </w:r>
      <w:r w:rsidR="00207601">
        <w:t>ť</w:t>
      </w:r>
      <w:r w:rsidR="00207601" w:rsidRPr="00F55FF6">
        <w:t xml:space="preserve"> AFCOS</w:t>
      </w:r>
    </w:p>
    <w:p w:rsidR="00C247E6" w:rsidRDefault="00084F59" w:rsidP="00BE7059">
      <w:pPr>
        <w:numPr>
          <w:ilvl w:val="0"/>
          <w:numId w:val="6"/>
        </w:numPr>
        <w:spacing w:line="240" w:lineRule="auto"/>
        <w:jc w:val="both"/>
      </w:pPr>
      <w:r w:rsidRPr="000136BB">
        <w:t>zabezpečuje</w:t>
      </w:r>
      <w:r w:rsidR="00BA150F">
        <w:t xml:space="preserve"> </w:t>
      </w:r>
      <w:r w:rsidRPr="00470500">
        <w:t>potrebné komunikačné aktivity</w:t>
      </w:r>
      <w:r w:rsidR="00B03C80">
        <w:t xml:space="preserve"> v súvislosti s ochranou finančných záujmov EÚ</w:t>
      </w:r>
    </w:p>
    <w:p w:rsidR="001D3ED8" w:rsidRDefault="00D45D3D" w:rsidP="00D45D3D">
      <w:pPr>
        <w:numPr>
          <w:ilvl w:val="0"/>
          <w:numId w:val="6"/>
        </w:numPr>
        <w:spacing w:line="240" w:lineRule="auto"/>
        <w:jc w:val="both"/>
      </w:pPr>
      <w:r>
        <w:t>vykonáva kontroly zamerané na zabezpečenie efektívneho, účelného a hospodárneho využívania prostriedkov Európskej únie poskytnutých Slovenskej republike</w:t>
      </w:r>
    </w:p>
    <w:p w:rsidR="00D45D3D" w:rsidRDefault="00D45D3D" w:rsidP="00D45D3D">
      <w:pPr>
        <w:numPr>
          <w:ilvl w:val="0"/>
          <w:numId w:val="6"/>
        </w:numPr>
        <w:spacing w:line="240" w:lineRule="auto"/>
        <w:jc w:val="both"/>
      </w:pPr>
      <w:r>
        <w:t>prijíma podania verejnosti o podozreniach z poškodenia, resp. ohrozenia finančných záujmov Európskej únie v Slovenskej republike</w:t>
      </w:r>
    </w:p>
    <w:p w:rsidR="00D45D3D" w:rsidRDefault="00D45D3D" w:rsidP="00D45D3D">
      <w:pPr>
        <w:numPr>
          <w:ilvl w:val="0"/>
          <w:numId w:val="6"/>
        </w:numPr>
        <w:spacing w:line="240" w:lineRule="auto"/>
        <w:jc w:val="both"/>
      </w:pPr>
      <w:r w:rsidRPr="00D45D3D">
        <w:t xml:space="preserve">zabezpečuje zber a pravidelné nahlasovanie nezrovnalostí </w:t>
      </w:r>
      <w:proofErr w:type="spellStart"/>
      <w:r w:rsidRPr="00D45D3D">
        <w:t>OLAF</w:t>
      </w:r>
      <w:r>
        <w:t>-</w:t>
      </w:r>
      <w:r w:rsidRPr="00D45D3D">
        <w:t>u</w:t>
      </w:r>
      <w:proofErr w:type="spellEnd"/>
    </w:p>
    <w:p w:rsidR="00D45D3D" w:rsidRDefault="00D45D3D" w:rsidP="00D45D3D">
      <w:pPr>
        <w:numPr>
          <w:ilvl w:val="0"/>
          <w:numId w:val="6"/>
        </w:numPr>
        <w:spacing w:line="240" w:lineRule="auto"/>
        <w:jc w:val="both"/>
      </w:pPr>
      <w:r>
        <w:t>spolupracuje s orgánmi činnými v trestnom konaní pri odhaľovaní prípadov trestnej činnosti súvisiacej s nezákonným nakladaním s prostriedkami EÚ</w:t>
      </w:r>
    </w:p>
    <w:p w:rsidR="00D45D3D" w:rsidRDefault="00D45D3D" w:rsidP="00D45D3D">
      <w:pPr>
        <w:numPr>
          <w:ilvl w:val="0"/>
          <w:numId w:val="6"/>
        </w:numPr>
        <w:spacing w:line="240" w:lineRule="auto"/>
        <w:jc w:val="both"/>
      </w:pPr>
      <w:r>
        <w:t>organizuje zasadnutia Riadiaceho výboru pre ochranu finančných záujmov Európskej únie v Slovenskej republike</w:t>
      </w:r>
    </w:p>
    <w:p w:rsidR="00906299" w:rsidRDefault="00906299" w:rsidP="00D6427C">
      <w:pPr>
        <w:spacing w:line="240" w:lineRule="auto"/>
        <w:ind w:left="240"/>
        <w:jc w:val="both"/>
      </w:pPr>
    </w:p>
    <w:p w:rsidR="00FE021F" w:rsidRDefault="005C2029" w:rsidP="00906299">
      <w:pPr>
        <w:pStyle w:val="Nadpis2"/>
        <w:jc w:val="both"/>
      </w:pPr>
      <w:bookmarkStart w:id="6" w:name="_Toc355097131"/>
      <w:r>
        <w:t>3</w:t>
      </w:r>
      <w:r w:rsidR="00E46113">
        <w:t>.</w:t>
      </w:r>
      <w:r w:rsidR="000C243A">
        <w:t>2</w:t>
      </w:r>
      <w:r w:rsidR="00E46113">
        <w:t xml:space="preserve"> </w:t>
      </w:r>
      <w:r w:rsidR="00FE021F">
        <w:t xml:space="preserve">Činnosť </w:t>
      </w:r>
      <w:r w:rsidR="008F212A">
        <w:t xml:space="preserve">Riadiaceho výboru pre </w:t>
      </w:r>
      <w:r w:rsidR="008F212A" w:rsidRPr="00DD24AC">
        <w:t>ochranu finančných záujmov Európskej únie v Slovenskej republike</w:t>
      </w:r>
      <w:r w:rsidR="008F212A">
        <w:t xml:space="preserve"> a </w:t>
      </w:r>
      <w:r w:rsidR="00FE021F">
        <w:t xml:space="preserve">pracovných skupín pod </w:t>
      </w:r>
      <w:r w:rsidR="008F212A" w:rsidRPr="008F212A">
        <w:t>Riadiac</w:t>
      </w:r>
      <w:r w:rsidR="008F212A">
        <w:t xml:space="preserve">im </w:t>
      </w:r>
      <w:r w:rsidR="008F212A" w:rsidRPr="008F212A">
        <w:t>výbor</w:t>
      </w:r>
      <w:r w:rsidR="008F212A">
        <w:t>om</w:t>
      </w:r>
      <w:r w:rsidR="008F212A" w:rsidRPr="008F212A">
        <w:t xml:space="preserve"> pre ochranu finančných záujmov Európskej únie v Slovenskej republike</w:t>
      </w:r>
      <w:bookmarkEnd w:id="6"/>
      <w:r w:rsidR="008F212A" w:rsidRPr="008F212A">
        <w:t xml:space="preserve">  </w:t>
      </w:r>
    </w:p>
    <w:p w:rsidR="00EA4599" w:rsidRPr="00EA4599" w:rsidRDefault="00EA4599" w:rsidP="008C2B52"/>
    <w:p w:rsidR="000504CE" w:rsidRDefault="00DD24AC" w:rsidP="004128ED">
      <w:pPr>
        <w:jc w:val="both"/>
      </w:pPr>
      <w:r w:rsidRPr="00DD24AC">
        <w:t>Riadiaci výbor pre ochranu finančných záujmov Európskej únie v Slovenskej republik</w:t>
      </w:r>
      <w:r w:rsidR="006115A4">
        <w:t>e (ďalej aj „Riadiaci výbor</w:t>
      </w:r>
      <w:r w:rsidR="00D45D3D">
        <w:t>“</w:t>
      </w:r>
      <w:r w:rsidR="009A7E76">
        <w:t xml:space="preserve"> alebo „RV“</w:t>
      </w:r>
      <w:r w:rsidR="006115A4">
        <w:t>)</w:t>
      </w:r>
      <w:r w:rsidRPr="00DD24AC">
        <w:t xml:space="preserve"> je koordinačný a iniciatívny orgán zriadený vedúcim Úradu vlády SR</w:t>
      </w:r>
      <w:r w:rsidR="00885FD9" w:rsidRPr="00885FD9">
        <w:t xml:space="preserve"> </w:t>
      </w:r>
      <w:r w:rsidR="00286816" w:rsidRPr="00286816">
        <w:t>na základe uznesenia vlády SR č. 547 z 27.</w:t>
      </w:r>
      <w:r w:rsidR="00303359">
        <w:t xml:space="preserve"> júna </w:t>
      </w:r>
      <w:r w:rsidR="00286816" w:rsidRPr="00286816">
        <w:t>2</w:t>
      </w:r>
      <w:r w:rsidR="00286816">
        <w:t xml:space="preserve">007 k návrhu národnej stratégie. Jeho štatút bol schválený </w:t>
      </w:r>
      <w:r w:rsidR="00885FD9" w:rsidRPr="00885FD9">
        <w:t xml:space="preserve">vládou SR dňa 5. </w:t>
      </w:r>
      <w:r w:rsidR="00CC4E2B">
        <w:t xml:space="preserve">septembra </w:t>
      </w:r>
      <w:r w:rsidR="00885FD9" w:rsidRPr="00885FD9">
        <w:t xml:space="preserve">2007, v znení </w:t>
      </w:r>
      <w:r w:rsidR="00885FD9">
        <w:t>neskorších dodatkov</w:t>
      </w:r>
      <w:r w:rsidR="00286816">
        <w:t>.</w:t>
      </w:r>
      <w:r w:rsidR="00D96A6B">
        <w:t xml:space="preserve"> </w:t>
      </w:r>
      <w:r w:rsidR="00EA4599">
        <w:t>Členovia R</w:t>
      </w:r>
      <w:r w:rsidR="009A7E76">
        <w:t xml:space="preserve">iadiaceho výboru sú menovaní partnermi siete AFCOS. </w:t>
      </w:r>
      <w:r w:rsidR="00CC4E2B">
        <w:t xml:space="preserve"> </w:t>
      </w:r>
    </w:p>
    <w:p w:rsidR="00286816" w:rsidRDefault="009A7E76" w:rsidP="004128ED">
      <w:pPr>
        <w:jc w:val="both"/>
      </w:pPr>
      <w:r>
        <w:t xml:space="preserve">RV </w:t>
      </w:r>
      <w:r w:rsidR="00286816" w:rsidRPr="00286816">
        <w:t xml:space="preserve">v spolupráci s </w:t>
      </w:r>
      <w:r w:rsidR="00CC4E2B">
        <w:t xml:space="preserve">OCKÚ </w:t>
      </w:r>
      <w:r w:rsidR="00286816" w:rsidRPr="00286816">
        <w:t xml:space="preserve">OLAF zabezpečuje plnenie úloh vyplývajúcich z </w:t>
      </w:r>
      <w:r w:rsidR="00CC0A77">
        <w:t>n</w:t>
      </w:r>
      <w:r w:rsidR="00286816" w:rsidRPr="00286816">
        <w:t>árodnej stratégie</w:t>
      </w:r>
      <w:r>
        <w:t xml:space="preserve"> a </w:t>
      </w:r>
      <w:r w:rsidR="00286816" w:rsidRPr="00286816">
        <w:t>koordináciu spolupráce sieťových partnerov v oblasti ochrany finančných záujmov EÚ v</w:t>
      </w:r>
      <w:r w:rsidR="00286816">
        <w:t> </w:t>
      </w:r>
      <w:r w:rsidR="00286816" w:rsidRPr="00286816">
        <w:t>SR</w:t>
      </w:r>
      <w:r w:rsidR="00286816">
        <w:t>.</w:t>
      </w:r>
    </w:p>
    <w:p w:rsidR="003B320D" w:rsidRDefault="00CE5C50" w:rsidP="002104F0">
      <w:pPr>
        <w:jc w:val="both"/>
      </w:pPr>
      <w:r>
        <w:t xml:space="preserve">V </w:t>
      </w:r>
      <w:r w:rsidR="002104F0" w:rsidRPr="002104F0">
        <w:t> roku 201</w:t>
      </w:r>
      <w:r w:rsidR="00470500">
        <w:t>2</w:t>
      </w:r>
      <w:r w:rsidR="002104F0" w:rsidRPr="002104F0">
        <w:t xml:space="preserve"> </w:t>
      </w:r>
      <w:r w:rsidR="002104F0" w:rsidRPr="002104F0">
        <w:rPr>
          <w:b/>
        </w:rPr>
        <w:t>zasadal</w:t>
      </w:r>
      <w:r w:rsidR="002104F0" w:rsidRPr="002104F0">
        <w:t xml:space="preserve"> Riadiaci výbor </w:t>
      </w:r>
      <w:r w:rsidR="005C7D3F">
        <w:t>dňa 19.</w:t>
      </w:r>
      <w:r w:rsidR="00303359">
        <w:t xml:space="preserve"> </w:t>
      </w:r>
      <w:r w:rsidR="009C27A2">
        <w:t>j</w:t>
      </w:r>
      <w:r w:rsidR="00303359">
        <w:t>anuára 2</w:t>
      </w:r>
      <w:r w:rsidR="005C7D3F">
        <w:t>012, 19.</w:t>
      </w:r>
      <w:r w:rsidR="00303359">
        <w:t xml:space="preserve"> júna 2</w:t>
      </w:r>
      <w:r w:rsidR="005C7D3F">
        <w:t>012 a 13.</w:t>
      </w:r>
      <w:r w:rsidR="00303359">
        <w:t xml:space="preserve"> nove</w:t>
      </w:r>
      <w:r w:rsidR="00CC4E2B">
        <w:t>m</w:t>
      </w:r>
      <w:r w:rsidR="00303359">
        <w:t xml:space="preserve">bra </w:t>
      </w:r>
      <w:r w:rsidR="005C7D3F">
        <w:t>2012</w:t>
      </w:r>
      <w:r w:rsidR="003B320D">
        <w:t xml:space="preserve">. </w:t>
      </w:r>
      <w:r w:rsidR="002C716F">
        <w:t xml:space="preserve">Predmetom jeho zasadnutí bolo najmä schvaľovanie dokumentov vyplývajúcich z národnej stratégie, vypracovávaných pracovnými skupinami zriadenými pod </w:t>
      </w:r>
      <w:r w:rsidR="008905CA">
        <w:t>R</w:t>
      </w:r>
      <w:r w:rsidR="002C716F">
        <w:t>iadiacim výborom,</w:t>
      </w:r>
      <w:r w:rsidR="00885FD9">
        <w:t xml:space="preserve"> vrátane materiálov vypracovaných OCKÚ OLAF na základe podkladov od sieťových partnerov, </w:t>
      </w:r>
      <w:r w:rsidR="001D3ED8">
        <w:t>najmä</w:t>
      </w:r>
      <w:r w:rsidR="003B320D">
        <w:t>:</w:t>
      </w:r>
    </w:p>
    <w:p w:rsidR="003F4A41" w:rsidRDefault="003F4A41" w:rsidP="002104F0">
      <w:pPr>
        <w:jc w:val="both"/>
      </w:pPr>
    </w:p>
    <w:p w:rsidR="003F4A41" w:rsidRDefault="003F4A41" w:rsidP="002104F0">
      <w:pPr>
        <w:jc w:val="both"/>
      </w:pPr>
    </w:p>
    <w:p w:rsidR="003F4A41" w:rsidRDefault="003F4A41" w:rsidP="002104F0">
      <w:pPr>
        <w:jc w:val="both"/>
      </w:pPr>
    </w:p>
    <w:p w:rsidR="003B320D" w:rsidRDefault="00885FD9" w:rsidP="003B320D">
      <w:pPr>
        <w:pStyle w:val="Odsekzoznamu"/>
        <w:numPr>
          <w:ilvl w:val="0"/>
          <w:numId w:val="7"/>
        </w:numPr>
        <w:jc w:val="both"/>
      </w:pPr>
      <w:r>
        <w:t xml:space="preserve">polročný </w:t>
      </w:r>
      <w:r w:rsidR="002C716F">
        <w:t>o</w:t>
      </w:r>
      <w:r w:rsidR="003B320D" w:rsidRPr="003B320D">
        <w:t>dpočet Akčného plánu k Národnej stratégii ochrany finančných záujmov E</w:t>
      </w:r>
      <w:r w:rsidR="00092260">
        <w:t>Ú</w:t>
      </w:r>
      <w:r w:rsidR="003B320D" w:rsidRPr="003B320D">
        <w:t xml:space="preserve"> v</w:t>
      </w:r>
      <w:r w:rsidR="00C21AD6">
        <w:t> </w:t>
      </w:r>
      <w:r w:rsidR="003B320D" w:rsidRPr="003B320D">
        <w:t>SR</w:t>
      </w:r>
    </w:p>
    <w:p w:rsidR="00C21AD6" w:rsidRDefault="00C21AD6" w:rsidP="00C21AD6">
      <w:pPr>
        <w:pStyle w:val="Odsekzoznamu"/>
        <w:numPr>
          <w:ilvl w:val="0"/>
          <w:numId w:val="7"/>
        </w:numPr>
        <w:jc w:val="both"/>
      </w:pPr>
      <w:r w:rsidRPr="00C21AD6">
        <w:t>Ročn</w:t>
      </w:r>
      <w:r w:rsidR="00286816">
        <w:t>á</w:t>
      </w:r>
      <w:r w:rsidRPr="00C21AD6">
        <w:t xml:space="preserve"> správ</w:t>
      </w:r>
      <w:r w:rsidR="00286816">
        <w:t>a</w:t>
      </w:r>
      <w:r w:rsidRPr="00C21AD6">
        <w:t xml:space="preserve"> o nezrovnalostiach </w:t>
      </w:r>
      <w:r w:rsidR="00286816">
        <w:t xml:space="preserve">za rok 2011 </w:t>
      </w:r>
      <w:r w:rsidR="00E76994">
        <w:t>predkladan</w:t>
      </w:r>
      <w:r w:rsidR="004128ED">
        <w:t>á</w:t>
      </w:r>
      <w:r w:rsidR="00E76994">
        <w:t xml:space="preserve"> </w:t>
      </w:r>
      <w:r w:rsidRPr="00C21AD6">
        <w:t>na rokovanie vlády</w:t>
      </w:r>
      <w:r w:rsidR="00E76994">
        <w:t xml:space="preserve"> SR</w:t>
      </w:r>
    </w:p>
    <w:p w:rsidR="00C21AD6" w:rsidRDefault="00C21AD6" w:rsidP="00C21AD6">
      <w:pPr>
        <w:pStyle w:val="Odsekzoznamu"/>
        <w:numPr>
          <w:ilvl w:val="0"/>
          <w:numId w:val="7"/>
        </w:numPr>
        <w:jc w:val="both"/>
      </w:pPr>
      <w:r>
        <w:t>Návrh aktualizácie Národnej stratégie ochrany finančných záujmov EÚ v SR, verzia 3.0</w:t>
      </w:r>
    </w:p>
    <w:p w:rsidR="00FA5D3A" w:rsidRDefault="00C21AD6" w:rsidP="00E16D6E">
      <w:pPr>
        <w:pStyle w:val="Odsekzoznamu"/>
        <w:numPr>
          <w:ilvl w:val="0"/>
          <w:numId w:val="7"/>
        </w:numPr>
        <w:jc w:val="both"/>
      </w:pPr>
      <w:r>
        <w:t>Návrh</w:t>
      </w:r>
      <w:r w:rsidR="00454717">
        <w:t xml:space="preserve"> aktualizácie </w:t>
      </w:r>
      <w:r>
        <w:t xml:space="preserve">Akčného plánu k Národnej stratégii </w:t>
      </w:r>
      <w:r w:rsidR="00092260" w:rsidRPr="00092260">
        <w:t>ochrany finančných záujmov EÚ v</w:t>
      </w:r>
      <w:r w:rsidR="00FA5D3A">
        <w:t> </w:t>
      </w:r>
      <w:r w:rsidR="00092260" w:rsidRPr="00092260">
        <w:t>SR</w:t>
      </w:r>
    </w:p>
    <w:p w:rsidR="00C21AD6" w:rsidRDefault="00C21AD6" w:rsidP="00E16D6E">
      <w:pPr>
        <w:pStyle w:val="Odsekzoznamu"/>
        <w:numPr>
          <w:ilvl w:val="0"/>
          <w:numId w:val="7"/>
        </w:numPr>
        <w:jc w:val="both"/>
      </w:pPr>
      <w:r>
        <w:t>Návrh aktualizácie Manuálu spolupráce partnerov siete AFCOS, verzia 2.2</w:t>
      </w:r>
    </w:p>
    <w:p w:rsidR="00286816" w:rsidRDefault="00C21AD6" w:rsidP="00286816">
      <w:pPr>
        <w:pStyle w:val="Odsekzoznamu"/>
        <w:numPr>
          <w:ilvl w:val="0"/>
          <w:numId w:val="7"/>
        </w:numPr>
        <w:jc w:val="both"/>
      </w:pPr>
      <w:r w:rsidRPr="00A940C4">
        <w:t>Návrh Zásad koordinácie kontrol a auditov sieťových partnerov AFCOS, verzia 3.0</w:t>
      </w:r>
    </w:p>
    <w:p w:rsidR="00286816" w:rsidRDefault="00286816" w:rsidP="00286816">
      <w:pPr>
        <w:pStyle w:val="Odsekzoznamu"/>
        <w:numPr>
          <w:ilvl w:val="0"/>
          <w:numId w:val="7"/>
        </w:numPr>
        <w:jc w:val="both"/>
      </w:pPr>
      <w:r>
        <w:t>Návrh Komunikačného plánu k ochrane finančných záujmov EÚ v SR, verzia 1.0</w:t>
      </w:r>
    </w:p>
    <w:p w:rsidR="00C21AD6" w:rsidRPr="00A940C4" w:rsidRDefault="00C21AD6" w:rsidP="004128ED">
      <w:pPr>
        <w:pStyle w:val="Odsekzoznamu"/>
        <w:jc w:val="both"/>
      </w:pPr>
    </w:p>
    <w:p w:rsidR="003B320D" w:rsidRDefault="003B320D" w:rsidP="002104F0">
      <w:pPr>
        <w:jc w:val="both"/>
      </w:pPr>
    </w:p>
    <w:p w:rsidR="009E7BE8" w:rsidRDefault="009E7BE8" w:rsidP="002104F0">
      <w:pPr>
        <w:jc w:val="both"/>
      </w:pPr>
      <w:r>
        <w:rPr>
          <w:noProof/>
          <w:lang w:eastAsia="sk-SK"/>
        </w:rPr>
        <w:drawing>
          <wp:inline distT="0" distB="0" distL="0" distR="0" wp14:anchorId="20E0D02A" wp14:editId="6B9E9639">
            <wp:extent cx="2038350" cy="1529001"/>
            <wp:effectExtent l="0" t="0" r="0" b="0"/>
            <wp:docPr id="3" name="Obrázok 3" descr="F:\RV 13 11 foto\RV 13 11 2012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RV 13 11 foto\RV 13 11 2012 0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387" cy="152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A1A" w:rsidRPr="00AC48AF" w:rsidRDefault="009A7E76" w:rsidP="00092260">
      <w:pPr>
        <w:jc w:val="both"/>
      </w:pPr>
      <w:r>
        <w:t xml:space="preserve">V zmysle štatútu </w:t>
      </w:r>
      <w:r w:rsidR="006218FC">
        <w:t xml:space="preserve">RV </w:t>
      </w:r>
      <w:r>
        <w:t xml:space="preserve">, článku 3 písm. c) </w:t>
      </w:r>
      <w:r w:rsidR="006218FC">
        <w:t xml:space="preserve">RV </w:t>
      </w:r>
      <w:r w:rsidRPr="009A7E76">
        <w:t>zriaďuje stále a dočasné pracovné skupiny na riešenie konkrétnych úloh, ktoré vyplývajú zo záväzku Slovenskej republiky zabezpečiť ochranu finančných záujmov EÚ a dohliada na ich činnosť.</w:t>
      </w:r>
      <w:r>
        <w:t xml:space="preserve"> Pod </w:t>
      </w:r>
      <w:r w:rsidR="00FB0A1A" w:rsidRPr="00AC48AF">
        <w:t>Riadiac</w:t>
      </w:r>
      <w:r>
        <w:t xml:space="preserve">im </w:t>
      </w:r>
      <w:r w:rsidR="00FB0A1A" w:rsidRPr="00AC48AF">
        <w:t>výbor</w:t>
      </w:r>
      <w:r>
        <w:t>om</w:t>
      </w:r>
      <w:r w:rsidR="00FB0A1A" w:rsidRPr="00AC48AF">
        <w:t xml:space="preserve"> </w:t>
      </w:r>
      <w:r>
        <w:t xml:space="preserve">pôsobia </w:t>
      </w:r>
      <w:r w:rsidR="00FB0A1A" w:rsidRPr="00AC48AF">
        <w:t>tieto pracovné skupiny:</w:t>
      </w:r>
    </w:p>
    <w:p w:rsidR="00FB0A1A" w:rsidRPr="00AC48AF" w:rsidRDefault="00FB0A1A" w:rsidP="00267E0C">
      <w:pPr>
        <w:pStyle w:val="Odsekzoznamu"/>
        <w:numPr>
          <w:ilvl w:val="0"/>
          <w:numId w:val="7"/>
        </w:numPr>
        <w:jc w:val="both"/>
      </w:pPr>
      <w:r w:rsidRPr="00AC48AF">
        <w:t>Pracovná skupina pre nezrovnalosti</w:t>
      </w:r>
      <w:r w:rsidR="00631578">
        <w:t xml:space="preserve"> </w:t>
      </w:r>
    </w:p>
    <w:p w:rsidR="00FB0A1A" w:rsidRPr="00E52322" w:rsidRDefault="00FB0A1A" w:rsidP="00267E0C">
      <w:pPr>
        <w:pStyle w:val="Odsekzoznamu"/>
        <w:numPr>
          <w:ilvl w:val="0"/>
          <w:numId w:val="7"/>
        </w:numPr>
        <w:jc w:val="both"/>
      </w:pPr>
      <w:r w:rsidRPr="00E52322">
        <w:t>Pracovná skupina k článku 325 Zmluvy o fungovaní EÚ</w:t>
      </w:r>
    </w:p>
    <w:p w:rsidR="00FB0A1A" w:rsidRPr="00267E0C" w:rsidRDefault="00FB0A1A" w:rsidP="00267E0C">
      <w:pPr>
        <w:pStyle w:val="Odsekzoznamu"/>
        <w:numPr>
          <w:ilvl w:val="0"/>
          <w:numId w:val="7"/>
        </w:numPr>
        <w:jc w:val="both"/>
      </w:pPr>
      <w:r w:rsidRPr="00267E0C">
        <w:t>Pracovná skupina pre spoluprácu v oblasti verejného obstarávania</w:t>
      </w:r>
    </w:p>
    <w:p w:rsidR="00FB0A1A" w:rsidRPr="00267E0C" w:rsidRDefault="00FB0A1A" w:rsidP="00267E0C">
      <w:pPr>
        <w:pStyle w:val="Odsekzoznamu"/>
        <w:numPr>
          <w:ilvl w:val="0"/>
          <w:numId w:val="7"/>
        </w:numPr>
        <w:jc w:val="both"/>
      </w:pPr>
      <w:r w:rsidRPr="00267E0C">
        <w:t xml:space="preserve">Pracovná skupina </w:t>
      </w:r>
      <w:r w:rsidR="009C27A2">
        <w:t xml:space="preserve">pre </w:t>
      </w:r>
      <w:r w:rsidR="00E273F2">
        <w:t>C</w:t>
      </w:r>
      <w:r w:rsidRPr="00267E0C">
        <w:t>entráln</w:t>
      </w:r>
      <w:r w:rsidR="009C27A2">
        <w:t>u</w:t>
      </w:r>
      <w:r w:rsidRPr="00267E0C">
        <w:t xml:space="preserve"> databáz</w:t>
      </w:r>
      <w:r w:rsidR="009C27A2">
        <w:t>u</w:t>
      </w:r>
      <w:r w:rsidRPr="00267E0C">
        <w:t xml:space="preserve"> vylúčených subjektov</w:t>
      </w:r>
      <w:r w:rsidR="00E273F2">
        <w:t xml:space="preserve"> (CED)</w:t>
      </w:r>
    </w:p>
    <w:p w:rsidR="00FB0A1A" w:rsidRPr="00AC48AF" w:rsidRDefault="00FB0A1A" w:rsidP="00267E0C">
      <w:pPr>
        <w:pStyle w:val="Odsekzoznamu"/>
        <w:numPr>
          <w:ilvl w:val="0"/>
          <w:numId w:val="7"/>
        </w:numPr>
        <w:jc w:val="both"/>
      </w:pPr>
      <w:r w:rsidRPr="00AC48AF">
        <w:t>Pracovná skupina pre spoluprácu v oblasti koordinácie kontrolnej činnosti</w:t>
      </w:r>
    </w:p>
    <w:p w:rsidR="00FB0A1A" w:rsidRDefault="00FB0A1A" w:rsidP="00267E0C">
      <w:pPr>
        <w:pStyle w:val="Odsekzoznamu"/>
        <w:numPr>
          <w:ilvl w:val="0"/>
          <w:numId w:val="7"/>
        </w:numPr>
        <w:jc w:val="both"/>
      </w:pPr>
      <w:r w:rsidRPr="00E52322">
        <w:t xml:space="preserve">Pracovná skupina pre komunikáciu. </w:t>
      </w:r>
    </w:p>
    <w:p w:rsidR="00CC0A77" w:rsidRPr="00E52322" w:rsidRDefault="00CC0A77" w:rsidP="00AA73BE">
      <w:pPr>
        <w:pStyle w:val="Odsekzoznamu"/>
        <w:jc w:val="both"/>
      </w:pPr>
    </w:p>
    <w:p w:rsidR="00631578" w:rsidRDefault="002104F0" w:rsidP="00631578">
      <w:pPr>
        <w:jc w:val="both"/>
      </w:pPr>
      <w:r w:rsidRPr="00267E0C">
        <w:t>V</w:t>
      </w:r>
      <w:r w:rsidR="00144D31" w:rsidRPr="00267E0C">
        <w:t> roku 2012</w:t>
      </w:r>
      <w:r w:rsidRPr="00267E0C">
        <w:t xml:space="preserve"> </w:t>
      </w:r>
      <w:r w:rsidR="00C91658">
        <w:t xml:space="preserve">zasadala </w:t>
      </w:r>
      <w:r w:rsidR="00631578">
        <w:rPr>
          <w:i/>
        </w:rPr>
        <w:t>P</w:t>
      </w:r>
      <w:r w:rsidRPr="00631578">
        <w:rPr>
          <w:i/>
        </w:rPr>
        <w:t>racovná skupina pre nezrovnalosti</w:t>
      </w:r>
      <w:r w:rsidRPr="00267E0C">
        <w:t xml:space="preserve"> dň</w:t>
      </w:r>
      <w:r w:rsidR="00AC48AF" w:rsidRPr="00267E0C">
        <w:t>a</w:t>
      </w:r>
      <w:r w:rsidR="005C7D3F" w:rsidRPr="00267E0C">
        <w:t xml:space="preserve"> </w:t>
      </w:r>
      <w:r w:rsidR="00631578">
        <w:t xml:space="preserve">9. februára </w:t>
      </w:r>
      <w:r w:rsidR="00454717" w:rsidRPr="00267E0C">
        <w:t>2012</w:t>
      </w:r>
      <w:r w:rsidR="00C91658">
        <w:t xml:space="preserve">, </w:t>
      </w:r>
      <w:r w:rsidR="00860B20">
        <w:t>kde jej členovia prerokovali materiál týkajúci sa prevenčných mechanizmov pri vzniku nezrovnalostí a podvodov v rámci projektov a programov financovaných z predvstupových fondov, ŠF, KF a fondov SPP</w:t>
      </w:r>
      <w:r w:rsidR="008C2B52">
        <w:t xml:space="preserve"> a tiež sa zaoberala prípadmi v rámci trestných konaní v súvislosti s poškodzovaním finančných záujmov EÚ</w:t>
      </w:r>
      <w:r w:rsidR="00142483">
        <w:t>,</w:t>
      </w:r>
      <w:r w:rsidR="008C2B52">
        <w:t xml:space="preserve"> ako aj ostatnými témami, týkajúcimi sa problematiky nezrovnalostí. </w:t>
      </w:r>
    </w:p>
    <w:p w:rsidR="005A4499" w:rsidRDefault="00860B20" w:rsidP="005A4499">
      <w:pPr>
        <w:spacing w:after="0"/>
        <w:jc w:val="both"/>
      </w:pPr>
      <w:r w:rsidRPr="00631578">
        <w:rPr>
          <w:i/>
        </w:rPr>
        <w:t>P</w:t>
      </w:r>
      <w:r w:rsidR="002104F0" w:rsidRPr="00631578">
        <w:rPr>
          <w:i/>
        </w:rPr>
        <w:t>racovná skupina k článku 325 Zmluvy o fungovaní EÚ</w:t>
      </w:r>
      <w:r w:rsidR="002104F0" w:rsidRPr="00267E0C">
        <w:t xml:space="preserve"> </w:t>
      </w:r>
      <w:r w:rsidR="007E4B70">
        <w:t xml:space="preserve">zasadala </w:t>
      </w:r>
      <w:r w:rsidR="00F85254">
        <w:t xml:space="preserve">dňa </w:t>
      </w:r>
      <w:r w:rsidR="00C91658">
        <w:t>2</w:t>
      </w:r>
      <w:r w:rsidR="00454717" w:rsidRPr="00267E0C">
        <w:t>4.</w:t>
      </w:r>
      <w:r w:rsidR="00E273F2">
        <w:t xml:space="preserve"> </w:t>
      </w:r>
      <w:r w:rsidR="009C27A2">
        <w:t>j</w:t>
      </w:r>
      <w:r w:rsidR="00303359">
        <w:t xml:space="preserve">anuára </w:t>
      </w:r>
      <w:r w:rsidR="00454717" w:rsidRPr="00267E0C">
        <w:t>2012</w:t>
      </w:r>
      <w:r w:rsidR="008C2B52">
        <w:t xml:space="preserve">, kedy sa zaoberala schválením finálnej verzie dotazníku k vykonávaniu čl. 325 Zmluvy o fungovaní EÚ na rok 2011 za SR. Dotazník na rok 2011 sa týkal vyšetrovaní podvodov (vrátane kontrol na mieste) s cieľom bojovať proti nezrovnalostiam a podvodom súvisiacim s finančnými záujmami EÚ v oblasti politiky súdržnosti (štrukturálne fondy a Kohézny fond). </w:t>
      </w:r>
    </w:p>
    <w:p w:rsidR="00631578" w:rsidRDefault="008C2B52" w:rsidP="005A4499">
      <w:pPr>
        <w:spacing w:after="0"/>
        <w:jc w:val="both"/>
      </w:pPr>
      <w:r>
        <w:t xml:space="preserve">Predmetom zasadnutia dňa 6. novembra 2012 bolo znenie dotazníka k vykonávaniu čl. 325 Zmluvy o fungovaní EÚ na rok 2012. Dotazník na rok 2012 sa týkal vyšetrovaní podvodov (vrátane kontrol na </w:t>
      </w:r>
      <w:r>
        <w:lastRenderedPageBreak/>
        <w:t xml:space="preserve">mieste) s cieľom bojovať proti nezrovnalostiam a podvodom súvisiacim s finančnými záujmami EÚ v oblasti poľnohospodárskej politiky. </w:t>
      </w:r>
    </w:p>
    <w:p w:rsidR="003F4A41" w:rsidRDefault="008C2B52" w:rsidP="00EC6F5B">
      <w:pPr>
        <w:jc w:val="both"/>
      </w:pPr>
      <w:r w:rsidRPr="00134F09">
        <w:rPr>
          <w:i/>
        </w:rPr>
        <w:t>P</w:t>
      </w:r>
      <w:r w:rsidR="002104F0" w:rsidRPr="00134F09">
        <w:rPr>
          <w:i/>
        </w:rPr>
        <w:t>racovná skupina pre spoluprácu v oblasti verejného obstarávania</w:t>
      </w:r>
      <w:r w:rsidR="002104F0" w:rsidRPr="00631578">
        <w:rPr>
          <w:i/>
        </w:rPr>
        <w:t xml:space="preserve"> </w:t>
      </w:r>
      <w:r w:rsidR="00466970">
        <w:rPr>
          <w:i/>
        </w:rPr>
        <w:t xml:space="preserve">(ďalej len „PS v oblasti VO“) </w:t>
      </w:r>
      <w:r w:rsidR="002104F0" w:rsidRPr="000C243A">
        <w:t>zasadala dňa</w:t>
      </w:r>
      <w:r w:rsidR="00454717" w:rsidRPr="000C243A">
        <w:t xml:space="preserve"> 20.</w:t>
      </w:r>
      <w:r w:rsidR="00303359">
        <w:t xml:space="preserve"> februára 2</w:t>
      </w:r>
      <w:r w:rsidR="00454717" w:rsidRPr="000C243A">
        <w:t>012</w:t>
      </w:r>
      <w:r w:rsidR="00D01756">
        <w:t xml:space="preserve"> a predmetom jej zasadnutia </w:t>
      </w:r>
      <w:r w:rsidR="00631578">
        <w:t xml:space="preserve">bolo prerokovanie pripomienok zaslaných k tabuľkám na účely plnenia úlohy B.1 </w:t>
      </w:r>
      <w:r w:rsidR="00631578" w:rsidRPr="007E4B70">
        <w:t>uznesenia vlády SR č. 650/2009</w:t>
      </w:r>
      <w:r w:rsidR="007E4B70">
        <w:t xml:space="preserve"> </w:t>
      </w:r>
      <w:r w:rsidR="007E4B70" w:rsidRPr="007E4B70">
        <w:t>k analýze zistení z auditov Európskej komisie a Dvora audítorov ES v oblasti verejného obstarávania v prípadoch porušenia legislatívy ES a dodržania zákona č. 25/2006 Z. z. o verejnom obstarávaní a o zmene a doplnení niektorých zákonov</w:t>
      </w:r>
      <w:r w:rsidR="007E4B70">
        <w:t xml:space="preserve"> a </w:t>
      </w:r>
      <w:r w:rsidR="00631578">
        <w:t>odsúhlasenie konečnej formy tabuliek.</w:t>
      </w:r>
    </w:p>
    <w:p w:rsidR="0008044A" w:rsidRDefault="00631578" w:rsidP="005A4499">
      <w:pPr>
        <w:spacing w:after="0"/>
        <w:jc w:val="both"/>
      </w:pPr>
      <w:r>
        <w:t>Na zasadnutí odznela aj informácia CKO o stave novely zákona o pomoci a podpore a o príprave zmien metodického pokynu CKO č. 11 k určovaniu výšky vrátenia poskytnutého príspevku</w:t>
      </w:r>
      <w:r w:rsidR="00142483">
        <w:t>,</w:t>
      </w:r>
      <w:r>
        <w:t xml:space="preserve"> alebo jeho časti pri porušení pravidiel a postupov verejného obstarávania (vypracovaného na základe Usmernenia </w:t>
      </w:r>
      <w:r w:rsidR="00092260">
        <w:t>Výboru pre koordináciu fondov Európskej komisie -</w:t>
      </w:r>
      <w:r>
        <w:t xml:space="preserve">COCOF). Na zasadnutí bola </w:t>
      </w:r>
      <w:r w:rsidR="007E4B70">
        <w:t xml:space="preserve">súčasne </w:t>
      </w:r>
      <w:r>
        <w:t xml:space="preserve">prediskutovaná problematika konfliktu záujmov – informácia členov pracovnej skupiny o výskyte a skúsenostiach s problematikou konfliktu záujmov vo verejnom obstarávaní v pôsobnosti jednotlivých sieťových partnerov pri overovaní, auditoch, certifikácii a pod. Členovia tejto pracovnej skupiny sa súčasne zaoberali návrhom RV na vytvorenie užšej skupiny expertov pre riešenie problematiky konfliktu záujmov tohto typu, ktorá by sa zaoberala jeho definíciou a navrhla formu jeho legislatívnej alebo metodickej podoby, ako aj spôsob jej prijatia. </w:t>
      </w:r>
    </w:p>
    <w:p w:rsidR="00631578" w:rsidRDefault="00D45D3D" w:rsidP="005A4499">
      <w:pPr>
        <w:spacing w:after="0"/>
        <w:jc w:val="both"/>
      </w:pPr>
      <w:r>
        <w:t>D</w:t>
      </w:r>
      <w:r w:rsidR="00631578">
        <w:t xml:space="preserve">ňa </w:t>
      </w:r>
      <w:r w:rsidR="00F85254" w:rsidRPr="000C243A">
        <w:t>15.</w:t>
      </w:r>
      <w:r w:rsidR="00303359">
        <w:t xml:space="preserve"> marca </w:t>
      </w:r>
      <w:r w:rsidR="00F85254" w:rsidRPr="000C243A">
        <w:t>2012</w:t>
      </w:r>
      <w:r w:rsidR="00C91658" w:rsidRPr="000C243A">
        <w:t xml:space="preserve"> </w:t>
      </w:r>
      <w:r>
        <w:t xml:space="preserve">sa </w:t>
      </w:r>
      <w:r w:rsidR="008C2B52" w:rsidRPr="000C243A">
        <w:t>uskutočn</w:t>
      </w:r>
      <w:r w:rsidR="00631578">
        <w:t xml:space="preserve">ilo </w:t>
      </w:r>
      <w:r w:rsidR="00454717" w:rsidRPr="000C243A">
        <w:t>pracovné stretnutie k otázke riešenia konfl</w:t>
      </w:r>
      <w:r w:rsidR="004E012B" w:rsidRPr="000C243A">
        <w:t>i</w:t>
      </w:r>
      <w:r w:rsidR="00454717" w:rsidRPr="000C243A">
        <w:t>ktu záujmov</w:t>
      </w:r>
      <w:r w:rsidR="00C91658" w:rsidRPr="000C243A">
        <w:t xml:space="preserve">. </w:t>
      </w:r>
      <w:r w:rsidR="0043208E" w:rsidRPr="0043208E">
        <w:t xml:space="preserve">V tejto súvislosti každý z členov </w:t>
      </w:r>
      <w:r w:rsidR="00466970">
        <w:t xml:space="preserve">PS v oblasti VO </w:t>
      </w:r>
      <w:r w:rsidR="0043208E" w:rsidRPr="0043208E">
        <w:t>zaslal Ú</w:t>
      </w:r>
      <w:r w:rsidR="00134F09">
        <w:t>VO</w:t>
      </w:r>
      <w:r w:rsidR="0043208E" w:rsidRPr="0043208E">
        <w:t xml:space="preserve"> podklady a zatiaľ bol prijatý všeobecný záver. Konkrétne odporúčania t. č. neboli prijaté. </w:t>
      </w:r>
      <w:r w:rsidR="00134F09">
        <w:t>ÚVO</w:t>
      </w:r>
      <w:r w:rsidR="0043208E" w:rsidRPr="0043208E">
        <w:t xml:space="preserve"> vzhľadom na výmenu predsedu </w:t>
      </w:r>
      <w:r w:rsidR="0058493D" w:rsidRPr="0058493D">
        <w:t xml:space="preserve">PS v oblasti VO </w:t>
      </w:r>
      <w:r w:rsidR="0043208E" w:rsidRPr="0043208E">
        <w:t xml:space="preserve">na zasadnutí Riadiaceho výboru </w:t>
      </w:r>
      <w:r w:rsidR="0058493D">
        <w:t xml:space="preserve">dňa </w:t>
      </w:r>
      <w:r w:rsidR="0043208E" w:rsidRPr="0043208E">
        <w:t>13.</w:t>
      </w:r>
      <w:r w:rsidR="0058493D">
        <w:t xml:space="preserve"> </w:t>
      </w:r>
      <w:r w:rsidR="0043208E" w:rsidRPr="0043208E">
        <w:t>11.</w:t>
      </w:r>
      <w:r w:rsidR="0058493D">
        <w:t xml:space="preserve"> </w:t>
      </w:r>
      <w:r w:rsidR="0043208E" w:rsidRPr="0043208E">
        <w:t>2012 informoval, že v súvislosti s otázkou konfliktu záujmov zorganizuje nové stretnutie tejto pracovnej skupiny.</w:t>
      </w:r>
    </w:p>
    <w:p w:rsidR="005A4499" w:rsidRDefault="005A4499" w:rsidP="005A4499">
      <w:pPr>
        <w:spacing w:after="0"/>
        <w:jc w:val="both"/>
      </w:pPr>
    </w:p>
    <w:p w:rsidR="007E4B70" w:rsidRDefault="00F85254" w:rsidP="00631578">
      <w:pPr>
        <w:jc w:val="both"/>
      </w:pPr>
      <w:r w:rsidRPr="00631578">
        <w:rPr>
          <w:i/>
        </w:rPr>
        <w:t xml:space="preserve">Zasadnutie </w:t>
      </w:r>
      <w:r w:rsidR="00C91658" w:rsidRPr="00631578">
        <w:rPr>
          <w:i/>
        </w:rPr>
        <w:t>p</w:t>
      </w:r>
      <w:r w:rsidR="002104F0" w:rsidRPr="00631578">
        <w:rPr>
          <w:i/>
        </w:rPr>
        <w:t>racovn</w:t>
      </w:r>
      <w:r w:rsidR="00C91658" w:rsidRPr="00631578">
        <w:rPr>
          <w:i/>
        </w:rPr>
        <w:t>ej</w:t>
      </w:r>
      <w:r w:rsidR="002104F0" w:rsidRPr="00631578">
        <w:rPr>
          <w:i/>
        </w:rPr>
        <w:t xml:space="preserve"> skupin</w:t>
      </w:r>
      <w:r w:rsidR="00C91658" w:rsidRPr="00631578">
        <w:rPr>
          <w:i/>
        </w:rPr>
        <w:t>y</w:t>
      </w:r>
      <w:r w:rsidR="002104F0" w:rsidRPr="00631578">
        <w:rPr>
          <w:i/>
        </w:rPr>
        <w:t xml:space="preserve"> pre spoluprácu v oblasti koordinácie kontrolnej činnosti</w:t>
      </w:r>
      <w:r w:rsidR="00C91658" w:rsidRPr="00631578">
        <w:rPr>
          <w:i/>
        </w:rPr>
        <w:t xml:space="preserve"> </w:t>
      </w:r>
      <w:r w:rsidR="00C91658" w:rsidRPr="00E35CF8">
        <w:t>sa uskutočnilo d</w:t>
      </w:r>
      <w:r w:rsidR="00E11BCF" w:rsidRPr="00E35CF8">
        <w:t xml:space="preserve">ňa </w:t>
      </w:r>
      <w:r w:rsidRPr="00E35CF8">
        <w:t>25.</w:t>
      </w:r>
      <w:r w:rsidR="00E273F2">
        <w:t xml:space="preserve"> </w:t>
      </w:r>
      <w:r w:rsidR="00303359">
        <w:t xml:space="preserve">októbra </w:t>
      </w:r>
      <w:r w:rsidRPr="00E35CF8">
        <w:t>201</w:t>
      </w:r>
      <w:r w:rsidR="00303359">
        <w:t>2</w:t>
      </w:r>
      <w:r w:rsidR="00646428">
        <w:t xml:space="preserve">, na ktorom boli schválené aktualizované </w:t>
      </w:r>
      <w:r w:rsidR="00646428" w:rsidRPr="00646428">
        <w:t>Zásad</w:t>
      </w:r>
      <w:r w:rsidR="00646428">
        <w:t>y</w:t>
      </w:r>
      <w:r w:rsidR="00646428" w:rsidRPr="00646428">
        <w:t xml:space="preserve"> koordinácie kontrol a auditov sieťových partnerov AFCOS, verzia 3.0</w:t>
      </w:r>
      <w:r w:rsidRPr="00E35CF8">
        <w:t xml:space="preserve">. </w:t>
      </w:r>
      <w:r w:rsidR="00AC1FBF">
        <w:t xml:space="preserve"> </w:t>
      </w:r>
    </w:p>
    <w:p w:rsidR="007E4B70" w:rsidRDefault="00AC1FBF" w:rsidP="00631578">
      <w:pPr>
        <w:jc w:val="both"/>
      </w:pPr>
      <w:r w:rsidRPr="007E4B70">
        <w:rPr>
          <w:i/>
        </w:rPr>
        <w:t>Pracovná skupina pre komunikáciu</w:t>
      </w:r>
      <w:r>
        <w:t xml:space="preserve"> vznikla na zasadnutí </w:t>
      </w:r>
      <w:r w:rsidR="00D45D3D">
        <w:t>R</w:t>
      </w:r>
      <w:r>
        <w:t xml:space="preserve">iadiaceho výboru dňa 13. </w:t>
      </w:r>
      <w:r w:rsidR="00303359">
        <w:t xml:space="preserve">novembra </w:t>
      </w:r>
      <w:r>
        <w:t>2012</w:t>
      </w:r>
      <w:r w:rsidR="00D45D3D">
        <w:t>.</w:t>
      </w:r>
      <w:r>
        <w:t xml:space="preserve"> </w:t>
      </w:r>
      <w:r w:rsidR="00D45D3D">
        <w:t>P</w:t>
      </w:r>
      <w:r>
        <w:t xml:space="preserve">rvé zasadnutie PSK </w:t>
      </w:r>
      <w:r w:rsidR="00B61A95">
        <w:t xml:space="preserve">bolo </w:t>
      </w:r>
      <w:r w:rsidR="00142483" w:rsidRPr="00E02EC5">
        <w:t>naplánované</w:t>
      </w:r>
      <w:r w:rsidR="00EA34DF" w:rsidRPr="00E02EC5">
        <w:t xml:space="preserve"> </w:t>
      </w:r>
      <w:r w:rsidRPr="00E02EC5">
        <w:t>1.</w:t>
      </w:r>
      <w:r w:rsidR="00303359" w:rsidRPr="00E02EC5">
        <w:t xml:space="preserve"> </w:t>
      </w:r>
      <w:r w:rsidR="008C2B52" w:rsidRPr="00E02EC5">
        <w:t>m</w:t>
      </w:r>
      <w:r w:rsidR="00303359" w:rsidRPr="00E02EC5">
        <w:t>arca</w:t>
      </w:r>
      <w:r w:rsidR="009C27A2" w:rsidRPr="00E02EC5">
        <w:t xml:space="preserve"> </w:t>
      </w:r>
      <w:r w:rsidRPr="00E02EC5">
        <w:t>2013</w:t>
      </w:r>
      <w:r w:rsidR="004E012B" w:rsidRPr="00E02EC5">
        <w:t>.</w:t>
      </w:r>
      <w:r w:rsidR="004E012B">
        <w:t xml:space="preserve"> </w:t>
      </w:r>
    </w:p>
    <w:p w:rsidR="0058493D" w:rsidRPr="0058493D" w:rsidRDefault="00D40718" w:rsidP="0058493D">
      <w:r w:rsidRPr="0058493D">
        <w:rPr>
          <w:i/>
        </w:rPr>
        <w:t xml:space="preserve">Pracovná skupina </w:t>
      </w:r>
      <w:r w:rsidR="007E4B70" w:rsidRPr="007F3040">
        <w:rPr>
          <w:i/>
        </w:rPr>
        <w:t>pre</w:t>
      </w:r>
      <w:r w:rsidRPr="007F3040">
        <w:rPr>
          <w:i/>
        </w:rPr>
        <w:t> CED</w:t>
      </w:r>
      <w:r w:rsidRPr="007F3040">
        <w:t xml:space="preserve"> v roku 2012 nezasadala.</w:t>
      </w:r>
      <w:r w:rsidR="0058493D">
        <w:t xml:space="preserve"> </w:t>
      </w:r>
      <w:r w:rsidR="0058493D" w:rsidRPr="0058493D">
        <w:t xml:space="preserve">Pracovná skupina pre CED v roku 2012 nezasadala z dôvodu vypracovávania Manuálu k CED. </w:t>
      </w:r>
    </w:p>
    <w:p w:rsidR="00D014FC" w:rsidRDefault="00D014FC" w:rsidP="00631578">
      <w:pPr>
        <w:jc w:val="both"/>
      </w:pPr>
    </w:p>
    <w:p w:rsidR="003F4A41" w:rsidRDefault="003F4A41" w:rsidP="00631578">
      <w:pPr>
        <w:jc w:val="both"/>
      </w:pPr>
    </w:p>
    <w:p w:rsidR="003F4A41" w:rsidRDefault="003F4A41" w:rsidP="00631578">
      <w:pPr>
        <w:jc w:val="both"/>
      </w:pPr>
    </w:p>
    <w:p w:rsidR="003F4A41" w:rsidRDefault="003F4A41" w:rsidP="00631578">
      <w:pPr>
        <w:jc w:val="both"/>
      </w:pPr>
    </w:p>
    <w:p w:rsidR="003F4A41" w:rsidRDefault="003F4A41" w:rsidP="00631578">
      <w:pPr>
        <w:jc w:val="both"/>
      </w:pPr>
    </w:p>
    <w:p w:rsidR="003F4A41" w:rsidRDefault="003F4A41" w:rsidP="00631578">
      <w:pPr>
        <w:jc w:val="both"/>
      </w:pPr>
    </w:p>
    <w:p w:rsidR="005A4499" w:rsidRDefault="005A4499" w:rsidP="00631578">
      <w:pPr>
        <w:jc w:val="both"/>
      </w:pPr>
    </w:p>
    <w:p w:rsidR="005A4499" w:rsidRDefault="005A4499" w:rsidP="00631578">
      <w:pPr>
        <w:jc w:val="both"/>
      </w:pPr>
    </w:p>
    <w:p w:rsidR="003F4A41" w:rsidRDefault="003F4A41" w:rsidP="00631578">
      <w:pPr>
        <w:jc w:val="both"/>
      </w:pPr>
    </w:p>
    <w:p w:rsidR="0015174D" w:rsidRPr="00D014FC" w:rsidRDefault="005C2029" w:rsidP="00D014FC">
      <w:pPr>
        <w:pStyle w:val="Nadpis1"/>
        <w:rPr>
          <w:rStyle w:val="Nadpis1Char"/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pPr>
      <w:bookmarkStart w:id="7" w:name="_Toc355097132"/>
      <w:r>
        <w:t>4</w:t>
      </w:r>
      <w:r w:rsidR="00D014FC">
        <w:t xml:space="preserve">. </w:t>
      </w:r>
      <w:r w:rsidR="00FE021F" w:rsidRPr="00E46113">
        <w:rPr>
          <w:rStyle w:val="Nadpis1Char"/>
          <w:b/>
          <w:bCs/>
        </w:rPr>
        <w:t>Príklady dobrej praxe v oblasti ochrany finančných záujmov EÚ</w:t>
      </w:r>
      <w:bookmarkEnd w:id="7"/>
    </w:p>
    <w:p w:rsidR="0015174D" w:rsidRDefault="005C2029" w:rsidP="007E4B70">
      <w:pPr>
        <w:pStyle w:val="Nadpis1"/>
        <w:rPr>
          <w:rStyle w:val="Nadpis1Char"/>
          <w:b/>
          <w:bCs/>
        </w:rPr>
      </w:pPr>
      <w:bookmarkStart w:id="8" w:name="_Toc355097133"/>
      <w:r>
        <w:rPr>
          <w:rStyle w:val="Nadpis1Char"/>
          <w:b/>
          <w:bCs/>
        </w:rPr>
        <w:t>4</w:t>
      </w:r>
      <w:r w:rsidR="00E00008">
        <w:rPr>
          <w:rStyle w:val="Nadpis1Char"/>
          <w:b/>
          <w:bCs/>
        </w:rPr>
        <w:t xml:space="preserve">.1 </w:t>
      </w:r>
      <w:r w:rsidR="0015174D" w:rsidRPr="00E46113">
        <w:rPr>
          <w:rStyle w:val="Nadpis1Char"/>
          <w:b/>
          <w:bCs/>
        </w:rPr>
        <w:t>OCKÚ OLAF</w:t>
      </w:r>
      <w:bookmarkEnd w:id="8"/>
    </w:p>
    <w:p w:rsidR="00322828" w:rsidRPr="00322828" w:rsidRDefault="00322828" w:rsidP="00322828"/>
    <w:p w:rsidR="007E3234" w:rsidRDefault="00906299" w:rsidP="008E2BD9">
      <w:pPr>
        <w:jc w:val="both"/>
      </w:pPr>
      <w:r>
        <w:t>V</w:t>
      </w:r>
      <w:r w:rsidRPr="000C243A">
        <w:t xml:space="preserve"> roku </w:t>
      </w:r>
      <w:r w:rsidRPr="007E4B70">
        <w:t>2012</w:t>
      </w:r>
      <w:r w:rsidRPr="00651CD1">
        <w:rPr>
          <w:b/>
        </w:rPr>
        <w:t xml:space="preserve"> </w:t>
      </w:r>
      <w:r w:rsidR="00EA34DF" w:rsidRPr="000C243A">
        <w:t xml:space="preserve">OCKÚ OLAF vykonal </w:t>
      </w:r>
      <w:r w:rsidR="005D11D8" w:rsidRPr="000C243A">
        <w:t>podľa zákona č.</w:t>
      </w:r>
      <w:r w:rsidR="009C27A2">
        <w:t xml:space="preserve"> </w:t>
      </w:r>
      <w:r w:rsidR="005D11D8" w:rsidRPr="000C243A">
        <w:t>10/1996 Z. z. o kontrole v štátnej správe</w:t>
      </w:r>
      <w:r w:rsidR="005D11D8">
        <w:t xml:space="preserve"> </w:t>
      </w:r>
      <w:r w:rsidR="00D01756">
        <w:t xml:space="preserve">v znení neskorších predpisov </w:t>
      </w:r>
      <w:r w:rsidR="00A333BE" w:rsidRPr="00651CD1">
        <w:rPr>
          <w:b/>
        </w:rPr>
        <w:t xml:space="preserve">5 kontrol </w:t>
      </w:r>
      <w:r w:rsidR="008E2BD9" w:rsidRPr="007E4B70">
        <w:t>zameraných na</w:t>
      </w:r>
      <w:r w:rsidR="008E2BD9" w:rsidRPr="00651CD1">
        <w:rPr>
          <w:b/>
        </w:rPr>
        <w:t xml:space="preserve"> </w:t>
      </w:r>
      <w:r w:rsidR="008E2BD9" w:rsidRPr="00FA5D3A">
        <w:t xml:space="preserve">zabezpečenie efektívneho, účelného a hospodárneho využívania prostriedkov Európskej únie poskytnutých </w:t>
      </w:r>
      <w:r w:rsidR="006218FC" w:rsidRPr="00FA5D3A">
        <w:t>SR</w:t>
      </w:r>
      <w:r w:rsidR="00A333BE" w:rsidRPr="000C243A">
        <w:t xml:space="preserve">, </w:t>
      </w:r>
      <w:r w:rsidR="00EA34DF">
        <w:t xml:space="preserve">z toho </w:t>
      </w:r>
      <w:r w:rsidR="00A333BE" w:rsidRPr="000C243A">
        <w:t>3 plánované a 2 neplánované kontroly</w:t>
      </w:r>
      <w:r w:rsidR="009C27A2">
        <w:t xml:space="preserve">. </w:t>
      </w:r>
    </w:p>
    <w:p w:rsidR="007E3234" w:rsidRDefault="009C27A2" w:rsidP="008E2BD9">
      <w:pPr>
        <w:jc w:val="both"/>
      </w:pPr>
      <w:r>
        <w:t xml:space="preserve">Kontrolovanými subjektmi boli </w:t>
      </w:r>
      <w:r w:rsidR="00A333BE" w:rsidRPr="000C243A">
        <w:t>MPRV SR (Agentúra pre podporu regionálneho rozvoja</w:t>
      </w:r>
      <w:r w:rsidR="00921FDC" w:rsidRPr="000C243A">
        <w:t xml:space="preserve">), Fond sociálneho rozvoja, </w:t>
      </w:r>
      <w:r>
        <w:t> </w:t>
      </w:r>
      <w:r w:rsidR="00921FDC" w:rsidRPr="000C243A">
        <w:t>S</w:t>
      </w:r>
      <w:r>
        <w:t xml:space="preserve">ociálna </w:t>
      </w:r>
      <w:r w:rsidR="00921FDC" w:rsidRPr="000C243A">
        <w:t>implementačn</w:t>
      </w:r>
      <w:r>
        <w:t>á</w:t>
      </w:r>
      <w:r w:rsidR="00921FDC" w:rsidRPr="000C243A">
        <w:t xml:space="preserve"> agentúr</w:t>
      </w:r>
      <w:r>
        <w:t>a</w:t>
      </w:r>
      <w:r w:rsidR="00921FDC" w:rsidRPr="000C243A">
        <w:t xml:space="preserve"> a Agentúr</w:t>
      </w:r>
      <w:r>
        <w:t>a</w:t>
      </w:r>
      <w:r w:rsidR="00921FDC" w:rsidRPr="000C243A">
        <w:t xml:space="preserve"> Ministerstva školstva, vedy, výskumu a športu SR pre štrukturálne fondy EÚ</w:t>
      </w:r>
      <w:r w:rsidR="005D11D8">
        <w:t>.</w:t>
      </w:r>
      <w:r w:rsidR="00921FDC" w:rsidRPr="000C243A">
        <w:t xml:space="preserve"> </w:t>
      </w:r>
    </w:p>
    <w:p w:rsidR="00921FDC" w:rsidRPr="000C243A" w:rsidRDefault="00F45BA0" w:rsidP="008E2BD9">
      <w:pPr>
        <w:jc w:val="both"/>
      </w:pPr>
      <w:r>
        <w:t xml:space="preserve">V štyroch prípadoch išlo o kontroly vykonané na základe podaní a podnetov doručených sekcii kontroly a boja proti korupcii </w:t>
      </w:r>
      <w:r w:rsidR="00FA521D">
        <w:t>ÚV SR</w:t>
      </w:r>
      <w:r>
        <w:t xml:space="preserve">. </w:t>
      </w:r>
      <w:r w:rsidRPr="00F733B5">
        <w:t>V jednom prípade išlo o kontrolu vybraných projektov, u ktorých bola zistená nezrovnalosť nad 10 000 Eur v rámci výziev predkladaných prostredníctvom Regionálneho operačného programu</w:t>
      </w:r>
      <w:r w:rsidR="00C0572B" w:rsidRPr="000F30F0">
        <w:t xml:space="preserve"> (ďalej len „ROP“)</w:t>
      </w:r>
      <w:r w:rsidRPr="00F733B5">
        <w:t>.</w:t>
      </w:r>
      <w:r>
        <w:t xml:space="preserve"> </w:t>
      </w:r>
      <w:r w:rsidR="00B439A4">
        <w:t xml:space="preserve">Jednalo sa o prípady </w:t>
      </w:r>
      <w:r w:rsidR="00B439A4" w:rsidRPr="00B439A4">
        <w:t>nezrovnalost</w:t>
      </w:r>
      <w:r w:rsidR="00B439A4">
        <w:t xml:space="preserve">í nahlásených </w:t>
      </w:r>
      <w:r w:rsidR="00C0572B">
        <w:t xml:space="preserve">OCKÚ OLAF </w:t>
      </w:r>
      <w:r w:rsidR="00B439A4">
        <w:t>v roku 2011 za ROP</w:t>
      </w:r>
      <w:r w:rsidR="00B439A4" w:rsidRPr="00B439A4">
        <w:t xml:space="preserve">, </w:t>
      </w:r>
      <w:r w:rsidR="00B439A4">
        <w:t xml:space="preserve">ktoré </w:t>
      </w:r>
      <w:r w:rsidR="00F733B5">
        <w:t xml:space="preserve">boli </w:t>
      </w:r>
      <w:r w:rsidR="00B439A4" w:rsidRPr="00B439A4">
        <w:t>vybera</w:t>
      </w:r>
      <w:r w:rsidR="00F733B5">
        <w:t>né</w:t>
      </w:r>
      <w:r w:rsidR="00B439A4" w:rsidRPr="00B439A4">
        <w:t xml:space="preserve"> </w:t>
      </w:r>
      <w:r w:rsidR="00B439A4">
        <w:t>OCKÚ OLAF</w:t>
      </w:r>
      <w:r w:rsidR="00F733B5">
        <w:t xml:space="preserve">, celkovo išlo </w:t>
      </w:r>
      <w:r w:rsidR="00B439A4" w:rsidRPr="00B439A4">
        <w:t>12</w:t>
      </w:r>
      <w:r w:rsidR="00F733B5">
        <w:t xml:space="preserve"> prípadov</w:t>
      </w:r>
      <w:r w:rsidR="00B439A4" w:rsidRPr="00B439A4">
        <w:t xml:space="preserve">, </w:t>
      </w:r>
      <w:r w:rsidR="00F733B5">
        <w:t xml:space="preserve">v 8 prípadoch s nezrovnalosťou </w:t>
      </w:r>
      <w:r w:rsidR="00B439A4" w:rsidRPr="00B439A4">
        <w:t>nad 10 000,- EUR</w:t>
      </w:r>
      <w:r w:rsidR="00F733B5">
        <w:t xml:space="preserve">. Celkovo bolo skontrolovaných </w:t>
      </w:r>
      <w:r w:rsidR="00B439A4" w:rsidRPr="00B439A4">
        <w:t>5 projektov.</w:t>
      </w:r>
    </w:p>
    <w:p w:rsidR="00E46113" w:rsidRDefault="00921FDC" w:rsidP="00267E0C">
      <w:pPr>
        <w:jc w:val="both"/>
      </w:pPr>
      <w:r w:rsidRPr="00E16D6E">
        <w:t xml:space="preserve">V roku </w:t>
      </w:r>
      <w:r w:rsidR="00A44ECE" w:rsidRPr="00E16D6E">
        <w:t xml:space="preserve">2012 </w:t>
      </w:r>
      <w:r w:rsidR="00D45D3D" w:rsidRPr="00E16D6E">
        <w:t>sa OCKÚ OLAF podieľal v spolupráci s </w:t>
      </w:r>
      <w:proofErr w:type="spellStart"/>
      <w:r w:rsidR="00D45D3D" w:rsidRPr="00E16D6E">
        <w:t>OLAF-om</w:t>
      </w:r>
      <w:proofErr w:type="spellEnd"/>
      <w:r w:rsidR="00D45D3D" w:rsidRPr="00E16D6E">
        <w:t xml:space="preserve"> na výkone </w:t>
      </w:r>
      <w:r w:rsidR="00423976" w:rsidRPr="00E16D6E">
        <w:rPr>
          <w:b/>
        </w:rPr>
        <w:t>3 administratívn</w:t>
      </w:r>
      <w:r w:rsidR="00E146E9" w:rsidRPr="00E16D6E">
        <w:rPr>
          <w:b/>
        </w:rPr>
        <w:t>ych</w:t>
      </w:r>
      <w:r w:rsidR="00423976" w:rsidRPr="00E16D6E">
        <w:rPr>
          <w:b/>
        </w:rPr>
        <w:t xml:space="preserve"> vyšetrovan</w:t>
      </w:r>
      <w:r w:rsidR="00E146E9" w:rsidRPr="00E16D6E">
        <w:rPr>
          <w:b/>
        </w:rPr>
        <w:t>í</w:t>
      </w:r>
      <w:r w:rsidR="00423976" w:rsidRPr="00E16D6E">
        <w:t>, v rámci ktorých bol</w:t>
      </w:r>
      <w:r w:rsidR="00E8382E" w:rsidRPr="00E16D6E">
        <w:t xml:space="preserve">i vykonané 3 kontroly na mieste. </w:t>
      </w:r>
    </w:p>
    <w:p w:rsidR="0015174D" w:rsidRPr="00994444" w:rsidRDefault="00E8382E" w:rsidP="00267E0C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>
        <w:rPr>
          <w:rFonts w:eastAsia="Times New Roman" w:cstheme="minorHAnsi"/>
          <w:lang w:eastAsia="cs-CZ"/>
        </w:rPr>
        <w:t xml:space="preserve">Tab. 1 </w:t>
      </w:r>
      <w:r w:rsidR="0015174D" w:rsidRPr="00994444">
        <w:rPr>
          <w:rFonts w:eastAsia="Times New Roman" w:cstheme="minorHAnsi"/>
          <w:b/>
          <w:lang w:eastAsia="cs-CZ"/>
        </w:rPr>
        <w:t xml:space="preserve">Štatistické údaje charakterizujúce činnosť </w:t>
      </w:r>
      <w:r w:rsidR="00106323" w:rsidRPr="00994444">
        <w:rPr>
          <w:rFonts w:eastAsia="Times New Roman" w:cstheme="minorHAnsi"/>
          <w:b/>
          <w:lang w:eastAsia="cs-CZ"/>
        </w:rPr>
        <w:t xml:space="preserve">OCKÚ </w:t>
      </w:r>
      <w:r w:rsidR="00F85254" w:rsidRPr="00994444">
        <w:rPr>
          <w:rFonts w:eastAsia="Times New Roman" w:cstheme="minorHAnsi"/>
          <w:b/>
          <w:lang w:eastAsia="cs-CZ"/>
        </w:rPr>
        <w:t xml:space="preserve">OLAF </w:t>
      </w:r>
      <w:r w:rsidR="0015174D" w:rsidRPr="00994444">
        <w:rPr>
          <w:rFonts w:eastAsia="Times New Roman" w:cstheme="minorHAnsi"/>
          <w:b/>
          <w:lang w:eastAsia="cs-CZ"/>
        </w:rPr>
        <w:t>v oblasti OFZ EÚ</w:t>
      </w:r>
      <w:r w:rsidR="00F85254" w:rsidRPr="00994444">
        <w:rPr>
          <w:rFonts w:eastAsia="Times New Roman" w:cstheme="minorHAnsi"/>
          <w:b/>
          <w:lang w:eastAsia="cs-CZ"/>
        </w:rPr>
        <w:t xml:space="preserve"> </w:t>
      </w:r>
      <w:r w:rsidR="0030080F" w:rsidRPr="00994444">
        <w:rPr>
          <w:rFonts w:eastAsia="Times New Roman" w:cstheme="minorHAnsi"/>
          <w:b/>
          <w:lang w:eastAsia="cs-CZ"/>
        </w:rPr>
        <w:t>v roku 2012</w:t>
      </w:r>
    </w:p>
    <w:tbl>
      <w:tblPr>
        <w:tblStyle w:val="Mriekatabuky2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024"/>
      </w:tblGrid>
      <w:tr w:rsidR="0015174D" w:rsidRPr="00427D82" w:rsidTr="005D5D0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67E0C">
              <w:rPr>
                <w:rFonts w:asciiTheme="minorHAnsi" w:hAnsiTheme="minorHAnsi" w:cstheme="minorHAnsi"/>
                <w:b/>
                <w:sz w:val="22"/>
              </w:rPr>
              <w:t>Činnosť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67E0C">
              <w:rPr>
                <w:rFonts w:asciiTheme="minorHAnsi" w:hAnsiTheme="minorHAnsi" w:cstheme="minorHAnsi"/>
                <w:b/>
                <w:sz w:val="22"/>
              </w:rPr>
              <w:t>Rok 2011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67E0C">
              <w:rPr>
                <w:rFonts w:asciiTheme="minorHAnsi" w:hAnsiTheme="minorHAnsi" w:cstheme="minorHAnsi"/>
                <w:b/>
                <w:sz w:val="22"/>
              </w:rPr>
              <w:t>Rok 2012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267E0C">
              <w:rPr>
                <w:rFonts w:asciiTheme="minorHAnsi" w:hAnsiTheme="minorHAnsi" w:cstheme="minorHAnsi"/>
                <w:b/>
                <w:sz w:val="22"/>
              </w:rPr>
              <w:t>Rozdiel</w:t>
            </w:r>
          </w:p>
        </w:tc>
      </w:tr>
      <w:tr w:rsidR="0015174D" w:rsidRPr="00427D82" w:rsidTr="005D5D0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Počet vykonaných kontrol podľa zákona č. 10/1996 Z.</w:t>
            </w:r>
            <w:r w:rsidR="00C323BA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67E0C">
              <w:rPr>
                <w:rFonts w:asciiTheme="minorHAnsi" w:hAnsiTheme="minorHAnsi" w:cstheme="minorHAnsi"/>
                <w:sz w:val="22"/>
              </w:rPr>
              <w:t>z.</w:t>
            </w:r>
            <w:r w:rsidR="008905CA">
              <w:rPr>
                <w:rFonts w:asciiTheme="minorHAnsi" w:hAnsiTheme="minorHAnsi" w:cstheme="minorHAnsi"/>
                <w:sz w:val="22"/>
              </w:rPr>
              <w:t xml:space="preserve"> v znení neskorších predpisov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+ 3</w:t>
            </w:r>
          </w:p>
        </w:tc>
      </w:tr>
      <w:tr w:rsidR="0015174D" w:rsidRPr="00427D82" w:rsidTr="005D5D0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z toho počet neplánovaných kontrol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+ 2</w:t>
            </w:r>
          </w:p>
        </w:tc>
      </w:tr>
      <w:tr w:rsidR="0015174D" w:rsidRPr="00427D82" w:rsidTr="005D5D0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9F1616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 xml:space="preserve">Poskytnutie požadovanej podpory </w:t>
            </w:r>
            <w:proofErr w:type="spellStart"/>
            <w:r w:rsidRPr="00267E0C">
              <w:rPr>
                <w:rFonts w:asciiTheme="minorHAnsi" w:hAnsiTheme="minorHAnsi" w:cstheme="minorHAnsi"/>
                <w:sz w:val="22"/>
              </w:rPr>
              <w:t>OLAF-u</w:t>
            </w:r>
            <w:proofErr w:type="spellEnd"/>
            <w:r w:rsidRPr="00267E0C">
              <w:rPr>
                <w:rFonts w:asciiTheme="minorHAnsi" w:hAnsiTheme="minorHAnsi" w:cstheme="minorHAnsi"/>
                <w:sz w:val="22"/>
              </w:rPr>
              <w:t xml:space="preserve">  pri administratívnych vyšetrovaniach</w:t>
            </w:r>
            <w:r w:rsidR="00FA521D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- 1</w:t>
            </w:r>
          </w:p>
        </w:tc>
      </w:tr>
      <w:tr w:rsidR="0015174D" w:rsidRPr="00427D82" w:rsidTr="005D5D0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 xml:space="preserve">Poskytnutie podpory </w:t>
            </w:r>
            <w:proofErr w:type="spellStart"/>
            <w:r w:rsidRPr="00267E0C">
              <w:rPr>
                <w:rFonts w:asciiTheme="minorHAnsi" w:hAnsiTheme="minorHAnsi" w:cstheme="minorHAnsi"/>
                <w:sz w:val="22"/>
              </w:rPr>
              <w:t>OLAF-u</w:t>
            </w:r>
            <w:proofErr w:type="spellEnd"/>
            <w:r w:rsidRPr="00267E0C">
              <w:rPr>
                <w:rFonts w:asciiTheme="minorHAnsi" w:hAnsiTheme="minorHAnsi" w:cstheme="minorHAnsi"/>
                <w:sz w:val="22"/>
              </w:rPr>
              <w:t xml:space="preserve"> pri získavaní informácií a dokumentácií na základe dožiadania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13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+ 5</w:t>
            </w:r>
          </w:p>
        </w:tc>
      </w:tr>
      <w:tr w:rsidR="0015174D" w:rsidRPr="00427D82" w:rsidTr="005D5D00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both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Spracovanie podaní verejnosti o podozreniach z poškodenia, resp. ohrozenia finančných záujmov EÚ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52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74D" w:rsidRPr="00267E0C" w:rsidRDefault="0015174D" w:rsidP="005D5D00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267E0C">
              <w:rPr>
                <w:rFonts w:asciiTheme="minorHAnsi" w:hAnsiTheme="minorHAnsi" w:cstheme="minorHAnsi"/>
                <w:sz w:val="22"/>
              </w:rPr>
              <w:t>+ 8</w:t>
            </w:r>
          </w:p>
        </w:tc>
      </w:tr>
    </w:tbl>
    <w:p w:rsidR="0057253F" w:rsidRDefault="0057253F" w:rsidP="00A63102">
      <w:pPr>
        <w:rPr>
          <w:rFonts w:ascii="Times New Roman" w:hAnsi="Times New Roman" w:cs="Times New Roman"/>
          <w:iCs/>
          <w:sz w:val="24"/>
          <w:szCs w:val="24"/>
        </w:rPr>
      </w:pPr>
    </w:p>
    <w:p w:rsidR="00EC5297" w:rsidRDefault="0057253F" w:rsidP="00A22BD1">
      <w:pPr>
        <w:jc w:val="both"/>
      </w:pPr>
      <w:r w:rsidRPr="00267E0C">
        <w:t xml:space="preserve">OCKÚ OLAF vedie </w:t>
      </w:r>
      <w:r w:rsidR="00F45BA0">
        <w:t>n</w:t>
      </w:r>
      <w:r w:rsidR="00F45BA0" w:rsidRPr="0027673C">
        <w:t>a základe spoluprác</w:t>
      </w:r>
      <w:r w:rsidR="00F45BA0">
        <w:t>e</w:t>
      </w:r>
      <w:r w:rsidR="00F45BA0" w:rsidRPr="0027673C">
        <w:t xml:space="preserve"> </w:t>
      </w:r>
      <w:r w:rsidR="00F45BA0">
        <w:t>s </w:t>
      </w:r>
      <w:r w:rsidR="00F45BA0" w:rsidRPr="0027673C">
        <w:t>G</w:t>
      </w:r>
      <w:r w:rsidR="00F45BA0">
        <w:t xml:space="preserve">enerálnou prokuratúrou </w:t>
      </w:r>
      <w:r w:rsidR="00F45BA0" w:rsidRPr="0027673C">
        <w:t>SR</w:t>
      </w:r>
      <w:r w:rsidR="00F45BA0" w:rsidRPr="00267E0C">
        <w:t xml:space="preserve"> </w:t>
      </w:r>
      <w:r w:rsidRPr="00267E0C">
        <w:t>evidenciu trestných konaní, týkajúcich sa trestných činov v oblasti ochrany finančných záujmov EÚ v</w:t>
      </w:r>
      <w:r w:rsidR="00D3267C">
        <w:t> </w:t>
      </w:r>
      <w:r w:rsidRPr="00267E0C">
        <w:t>S</w:t>
      </w:r>
      <w:r w:rsidR="00D3267C">
        <w:t xml:space="preserve">R pre skutky kvalifikované </w:t>
      </w:r>
      <w:r w:rsidR="00EC5297" w:rsidRPr="00267E0C">
        <w:t xml:space="preserve">ako trestné činy poškodzovania finančných záujmov Európskych spoločenstiev, </w:t>
      </w:r>
      <w:r w:rsidR="00423976" w:rsidRPr="00681725">
        <w:t>podvodu, subvenčného podvodu,</w:t>
      </w:r>
      <w:r w:rsidR="00423976">
        <w:t xml:space="preserve"> </w:t>
      </w:r>
      <w:r w:rsidR="00EC5297" w:rsidRPr="00267E0C">
        <w:t xml:space="preserve">korupcie, machinácie pri verejnom obstarávaní a verejnej dražbe, zneužívania informácií v obchodnom styku, legalizácie príjmu z trestnej činnosti, založenia, zosnovania a </w:t>
      </w:r>
      <w:r w:rsidR="00EC5297" w:rsidRPr="00267E0C">
        <w:lastRenderedPageBreak/>
        <w:t>podporovania zločineckej skupiny, zneužívania právomoci verejného činiteľa a  ďalších trestných činov, pokiaľ súvisia</w:t>
      </w:r>
      <w:r w:rsidR="00EC5297" w:rsidRPr="00EC529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C5297" w:rsidRPr="00267E0C">
        <w:t>s ochranou finančných záujmov Európskej únie</w:t>
      </w:r>
      <w:r w:rsidR="00D01756">
        <w:t>.</w:t>
      </w:r>
      <w:r w:rsidR="00EC5297" w:rsidRPr="00267E0C">
        <w:t xml:space="preserve"> Evidencia je vedená v súlade so zákonom č. 428/2002 Z. z. o ochrane osobných údajov v znení neskorších predpisov.</w:t>
      </w:r>
    </w:p>
    <w:p w:rsidR="00BA57B0" w:rsidRDefault="00BA57B0" w:rsidP="00A22BD1">
      <w:pPr>
        <w:jc w:val="both"/>
      </w:pPr>
    </w:p>
    <w:p w:rsidR="00E52322" w:rsidRPr="00CC0A77" w:rsidRDefault="00E52322" w:rsidP="00E52322">
      <w:pPr>
        <w:spacing w:after="0" w:line="240" w:lineRule="auto"/>
        <w:jc w:val="both"/>
        <w:rPr>
          <w:rFonts w:eastAsia="Times New Roman" w:cstheme="minorHAnsi"/>
          <w:b/>
          <w:lang w:eastAsia="cs-CZ"/>
        </w:rPr>
      </w:pPr>
      <w:r w:rsidRPr="00CC0A77">
        <w:rPr>
          <w:rFonts w:eastAsia="Times New Roman" w:cstheme="minorHAnsi"/>
          <w:b/>
          <w:lang w:eastAsia="cs-CZ"/>
        </w:rPr>
        <w:t>Tab</w:t>
      </w:r>
      <w:r w:rsidR="00E8382E">
        <w:rPr>
          <w:rFonts w:eastAsia="Times New Roman" w:cstheme="minorHAnsi"/>
          <w:b/>
          <w:lang w:eastAsia="cs-CZ"/>
        </w:rPr>
        <w:t>. 2</w:t>
      </w:r>
      <w:r w:rsidRPr="00CC0A77">
        <w:rPr>
          <w:rFonts w:eastAsia="Times New Roman" w:cstheme="minorHAnsi"/>
          <w:b/>
          <w:lang w:eastAsia="cs-CZ"/>
        </w:rPr>
        <w:t>: Porovnanie stavu trestných konaní v súvislosti s poškodzovaním finančných záujmov EÚ v rokoch 2011 a 2012</w:t>
      </w:r>
    </w:p>
    <w:tbl>
      <w:tblPr>
        <w:tblW w:w="88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0"/>
        <w:gridCol w:w="1440"/>
        <w:gridCol w:w="1500"/>
        <w:gridCol w:w="1640"/>
      </w:tblGrid>
      <w:tr w:rsidR="00E52322" w:rsidRPr="00E52322" w:rsidTr="008E2BD9">
        <w:trPr>
          <w:trHeight w:val="270"/>
        </w:trPr>
        <w:tc>
          <w:tcPr>
            <w:tcW w:w="4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755E8F">
              <w:rPr>
                <w:rFonts w:ascii="Calibri" w:eastAsia="Times New Roman" w:hAnsi="Calibri" w:cs="Calibri"/>
                <w:lang w:eastAsia="cs-CZ"/>
              </w:rPr>
              <w:t>Trestné konania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755E8F">
              <w:rPr>
                <w:rFonts w:eastAsia="Times New Roman" w:cstheme="minorHAnsi"/>
                <w:bCs/>
                <w:lang w:eastAsia="cs-CZ"/>
              </w:rPr>
              <w:t>2011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55E8F">
              <w:rPr>
                <w:rFonts w:eastAsia="Times New Roman" w:cstheme="minorHAnsi"/>
                <w:b/>
                <w:lang w:eastAsia="cs-CZ"/>
              </w:rPr>
              <w:t>2012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5E8F">
              <w:rPr>
                <w:rFonts w:eastAsia="Times New Roman" w:cstheme="minorHAnsi"/>
                <w:lang w:eastAsia="cs-CZ"/>
              </w:rPr>
              <w:t>rozdiel</w:t>
            </w:r>
          </w:p>
        </w:tc>
      </w:tr>
      <w:tr w:rsidR="00E52322" w:rsidRPr="00E52322" w:rsidTr="008E2BD9">
        <w:trPr>
          <w:trHeight w:val="2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322" w:rsidRPr="00755E8F" w:rsidRDefault="00E52322" w:rsidP="00E5232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5E8F">
              <w:rPr>
                <w:rFonts w:ascii="Calibri" w:eastAsia="Times New Roman" w:hAnsi="Calibri" w:cs="Calibri"/>
                <w:lang w:eastAsia="cs-CZ"/>
              </w:rPr>
              <w:t>vydané uznesenia o začatí trestného stíhania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755E8F">
              <w:rPr>
                <w:rFonts w:eastAsia="Times New Roman" w:cstheme="minorHAnsi"/>
                <w:bCs/>
                <w:lang w:eastAsia="cs-CZ"/>
              </w:rPr>
              <w:t>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55E8F">
              <w:rPr>
                <w:rFonts w:eastAsia="Times New Roman" w:cstheme="minorHAnsi"/>
                <w:b/>
                <w:lang w:eastAsia="cs-CZ"/>
              </w:rPr>
              <w:t>77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5E8F">
              <w:rPr>
                <w:rFonts w:eastAsia="Times New Roman" w:cstheme="minorHAnsi"/>
                <w:lang w:eastAsia="cs-CZ"/>
              </w:rPr>
              <w:t>+27</w:t>
            </w:r>
          </w:p>
        </w:tc>
      </w:tr>
      <w:tr w:rsidR="00E52322" w:rsidRPr="00E52322" w:rsidTr="008E2BD9">
        <w:trPr>
          <w:trHeight w:val="51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322" w:rsidRPr="00755E8F" w:rsidRDefault="00E52322" w:rsidP="00E5232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5E8F">
              <w:rPr>
                <w:rFonts w:ascii="Calibri" w:eastAsia="Times New Roman" w:hAnsi="Calibri" w:cs="Calibri"/>
                <w:lang w:eastAsia="cs-CZ"/>
              </w:rPr>
              <w:t>vydané uznesenia o vznesení obvinenia (počet skutkov)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755E8F">
              <w:rPr>
                <w:rFonts w:eastAsia="Times New Roman" w:cstheme="minorHAnsi"/>
                <w:bCs/>
                <w:lang w:eastAsia="cs-CZ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55E8F">
              <w:rPr>
                <w:rFonts w:eastAsia="Times New Roman" w:cstheme="minorHAnsi"/>
                <w:b/>
                <w:lang w:eastAsia="cs-CZ"/>
              </w:rPr>
              <w:t>51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5E8F">
              <w:rPr>
                <w:rFonts w:eastAsia="Times New Roman" w:cstheme="minorHAnsi"/>
                <w:lang w:eastAsia="cs-CZ"/>
              </w:rPr>
              <w:t>+11</w:t>
            </w:r>
          </w:p>
        </w:tc>
      </w:tr>
      <w:tr w:rsidR="00E52322" w:rsidRPr="00E52322" w:rsidTr="008E2BD9">
        <w:trPr>
          <w:trHeight w:val="255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322" w:rsidRPr="00755E8F" w:rsidRDefault="00E52322" w:rsidP="00E5232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5E8F">
              <w:rPr>
                <w:rFonts w:ascii="Calibri" w:eastAsia="Times New Roman" w:hAnsi="Calibri" w:cs="Calibri"/>
                <w:lang w:eastAsia="cs-CZ"/>
              </w:rPr>
              <w:t xml:space="preserve">počet obvinených osôb za trestné činy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755E8F">
              <w:rPr>
                <w:rFonts w:eastAsia="Times New Roman" w:cstheme="minorHAnsi"/>
                <w:bCs/>
                <w:lang w:eastAsia="cs-CZ"/>
              </w:rPr>
              <w:t>56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55E8F">
              <w:rPr>
                <w:rFonts w:eastAsia="Times New Roman" w:cstheme="minorHAnsi"/>
                <w:b/>
                <w:lang w:eastAsia="cs-CZ"/>
              </w:rPr>
              <w:t>65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 w:rsidRPr="00755E8F">
              <w:rPr>
                <w:rFonts w:eastAsia="Times New Roman" w:cstheme="minorHAnsi"/>
                <w:lang w:eastAsia="cs-CZ"/>
              </w:rPr>
              <w:t>+9</w:t>
            </w:r>
          </w:p>
        </w:tc>
      </w:tr>
      <w:tr w:rsidR="00E52322" w:rsidRPr="00E52322" w:rsidTr="008E2BD9">
        <w:trPr>
          <w:trHeight w:val="270"/>
        </w:trPr>
        <w:tc>
          <w:tcPr>
            <w:tcW w:w="4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52322" w:rsidRPr="00755E8F" w:rsidRDefault="00E52322" w:rsidP="00E52322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755E8F">
              <w:rPr>
                <w:rFonts w:ascii="Calibri" w:eastAsia="Times New Roman" w:hAnsi="Calibri" w:cs="Calibri"/>
                <w:lang w:eastAsia="cs-CZ"/>
              </w:rPr>
              <w:t>zastavené trestné stíhania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bCs/>
                <w:lang w:eastAsia="cs-CZ"/>
              </w:rPr>
            </w:pPr>
            <w:r w:rsidRPr="00755E8F">
              <w:rPr>
                <w:rFonts w:eastAsia="Times New Roman" w:cstheme="minorHAnsi"/>
                <w:bCs/>
                <w:lang w:eastAsia="cs-CZ"/>
              </w:rPr>
              <w:t>6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755E8F" w:rsidRDefault="00E52322" w:rsidP="00E5232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cs-CZ"/>
              </w:rPr>
            </w:pPr>
            <w:r w:rsidRPr="00755E8F">
              <w:rPr>
                <w:rFonts w:eastAsia="Times New Roman" w:cstheme="minorHAnsi"/>
                <w:b/>
                <w:lang w:eastAsia="cs-CZ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322" w:rsidRPr="00755E8F" w:rsidRDefault="008905CA" w:rsidP="008905CA">
            <w:pPr>
              <w:spacing w:after="0" w:line="240" w:lineRule="auto"/>
              <w:jc w:val="center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+13</w:t>
            </w:r>
          </w:p>
        </w:tc>
      </w:tr>
      <w:tr w:rsidR="00E52322" w:rsidRPr="00E52322" w:rsidTr="008E2BD9">
        <w:trPr>
          <w:trHeight w:val="270"/>
        </w:trPr>
        <w:tc>
          <w:tcPr>
            <w:tcW w:w="4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2322" w:rsidRPr="00E52322" w:rsidRDefault="00E52322" w:rsidP="00E5232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E52322" w:rsidRDefault="00E52322" w:rsidP="00E5232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2322" w:rsidRPr="00E52322" w:rsidRDefault="00E52322" w:rsidP="00E52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2322" w:rsidRPr="00E52322" w:rsidRDefault="00E52322" w:rsidP="00E5232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E52322" w:rsidRPr="00E52322" w:rsidRDefault="00E52322" w:rsidP="00E52322">
      <w:pPr>
        <w:spacing w:after="0" w:line="240" w:lineRule="auto"/>
        <w:ind w:firstLine="426"/>
        <w:jc w:val="both"/>
        <w:rPr>
          <w:rFonts w:ascii="Arial" w:eastAsia="Times New Roman" w:hAnsi="Arial" w:cs="Times New Roman"/>
          <w:lang w:eastAsia="cs-CZ"/>
        </w:rPr>
      </w:pPr>
    </w:p>
    <w:p w:rsidR="00E16D6E" w:rsidRDefault="008A73B6" w:rsidP="00E16D6E">
      <w:pPr>
        <w:jc w:val="both"/>
        <w:rPr>
          <w:b/>
        </w:rPr>
      </w:pPr>
      <w:r w:rsidRPr="008A73B6">
        <w:t xml:space="preserve">Celkovo bolo vo vyšetrovaní </w:t>
      </w:r>
      <w:r w:rsidRPr="00CC0A77">
        <w:rPr>
          <w:b/>
        </w:rPr>
        <w:t>obvinených</w:t>
      </w:r>
      <w:r w:rsidRPr="008A73B6">
        <w:t xml:space="preserve"> </w:t>
      </w:r>
      <w:r w:rsidRPr="00CC0A77">
        <w:rPr>
          <w:b/>
        </w:rPr>
        <w:t>65 osôb pre trestný čin poškodzovania finančných záujmov Európskych spoločenstiev</w:t>
      </w:r>
      <w:r w:rsidRPr="008A73B6">
        <w:rPr>
          <w:bCs/>
        </w:rPr>
        <w:t xml:space="preserve"> podľa </w:t>
      </w:r>
      <w:r w:rsidRPr="008A73B6">
        <w:t>§ 261</w:t>
      </w:r>
      <w:r w:rsidR="009125D7">
        <w:t xml:space="preserve"> ods. </w:t>
      </w:r>
      <w:r w:rsidRPr="008A73B6">
        <w:t xml:space="preserve">1, 3  </w:t>
      </w:r>
      <w:r w:rsidRPr="008A73B6">
        <w:rPr>
          <w:bCs/>
        </w:rPr>
        <w:t>Trestného zákona</w:t>
      </w:r>
      <w:r w:rsidR="00947A86">
        <w:rPr>
          <w:bCs/>
        </w:rPr>
        <w:t xml:space="preserve"> č. 300/2005 Z. z. v znení neskorších predpisov (ďalej len „Trestný zákon“)</w:t>
      </w:r>
      <w:r w:rsidRPr="008A73B6">
        <w:rPr>
          <w:bCs/>
        </w:rPr>
        <w:t>.</w:t>
      </w:r>
      <w:r w:rsidR="00E16D6E" w:rsidRPr="00E16D6E">
        <w:rPr>
          <w:b/>
        </w:rPr>
        <w:t xml:space="preserve"> </w:t>
      </w:r>
    </w:p>
    <w:p w:rsidR="00E16D6E" w:rsidRDefault="00E16D6E" w:rsidP="00E16D6E">
      <w:pPr>
        <w:jc w:val="both"/>
      </w:pPr>
      <w:r w:rsidRPr="00136DA6">
        <w:rPr>
          <w:b/>
        </w:rPr>
        <w:t>Celková výška spôsobenej škody</w:t>
      </w:r>
      <w:r>
        <w:t xml:space="preserve"> bola vyčíslená na sumu </w:t>
      </w:r>
      <w:r w:rsidRPr="00136DA6">
        <w:rPr>
          <w:b/>
        </w:rPr>
        <w:t>3 962 858 EUR</w:t>
      </w:r>
      <w:r>
        <w:t xml:space="preserve"> (o 644 874 EUR viac ako v roku 2011).</w:t>
      </w:r>
    </w:p>
    <w:p w:rsidR="008A73B6" w:rsidRPr="008A73B6" w:rsidRDefault="008A73B6" w:rsidP="008A73B6">
      <w:pPr>
        <w:jc w:val="both"/>
        <w:rPr>
          <w:bCs/>
        </w:rPr>
      </w:pPr>
      <w:r w:rsidRPr="008A73B6">
        <w:t>Z hľadiska postavenia, funkcie, resp. praco</w:t>
      </w:r>
      <w:r>
        <w:t xml:space="preserve">vného zaradenia bolo obvinených </w:t>
      </w:r>
      <w:r w:rsidRPr="008A73B6">
        <w:t xml:space="preserve">45 samostatne zárobkovo činných osôb, </w:t>
      </w:r>
      <w:r>
        <w:t>11 predstaviteľov</w:t>
      </w:r>
      <w:r w:rsidRPr="008A73B6">
        <w:t xml:space="preserve"> obchodných spoločností (konateľ, spoločník, člen orgánov),</w:t>
      </w:r>
      <w:r>
        <w:t xml:space="preserve"> </w:t>
      </w:r>
      <w:r w:rsidRPr="008A73B6">
        <w:t xml:space="preserve">3 splnomocnení zástupcovia spoločností, 2 starostovia obce, </w:t>
      </w:r>
      <w:r>
        <w:t xml:space="preserve">2 učitelia a </w:t>
      </w:r>
      <w:r w:rsidRPr="008A73B6">
        <w:t>2 účtovníci.</w:t>
      </w:r>
      <w:r>
        <w:rPr>
          <w:bCs/>
        </w:rPr>
        <w:t xml:space="preserve"> Zo súkromného sektora bolo</w:t>
      </w:r>
      <w:r w:rsidRPr="008A73B6">
        <w:t xml:space="preserve"> obvinených</w:t>
      </w:r>
      <w:r>
        <w:t xml:space="preserve"> </w:t>
      </w:r>
      <w:r w:rsidR="008905CA" w:rsidRPr="008A73B6">
        <w:t>61</w:t>
      </w:r>
      <w:r w:rsidR="00E6741D">
        <w:t xml:space="preserve"> </w:t>
      </w:r>
      <w:r>
        <w:t xml:space="preserve">osôb, 2 obvinení boli z obcí, a 2 obvinení zo škôl. </w:t>
      </w:r>
    </w:p>
    <w:p w:rsidR="008A73B6" w:rsidRDefault="008A73B6" w:rsidP="008A73B6">
      <w:pPr>
        <w:jc w:val="both"/>
      </w:pPr>
      <w:r>
        <w:t xml:space="preserve">Protiprávnosť konania páchateľov spočívala </w:t>
      </w:r>
      <w:r w:rsidR="00FA521D">
        <w:t xml:space="preserve">hlavne v </w:t>
      </w:r>
      <w:r>
        <w:t xml:space="preserve">predkladaní nepravdivých dokladov a taktiež v následnom použití finančných prostriedkov zo všeobecného rozpočtu </w:t>
      </w:r>
      <w:r w:rsidR="006218FC">
        <w:t>EÚ</w:t>
      </w:r>
      <w:r>
        <w:t xml:space="preserve"> na iný účel, ako boli pôvodne určené. Predovšetkým </w:t>
      </w:r>
      <w:r w:rsidR="00B61A95">
        <w:t xml:space="preserve">išlo </w:t>
      </w:r>
      <w:r>
        <w:t xml:space="preserve">o finančné prostriedky poskytnuté z Európskeho sociálneho fondu, Európskeho fondu regionálneho rozvoja a Európskeho poľnohospodárskeho fondu pre rozvoj vidieka. </w:t>
      </w:r>
    </w:p>
    <w:p w:rsidR="007E3234" w:rsidRDefault="008A73B6" w:rsidP="008A73B6">
      <w:pPr>
        <w:jc w:val="both"/>
      </w:pPr>
      <w:r>
        <w:t>Trestný čin poškodzovania finančných záujmov Európskych spoločenstiev je spravidla spáchaný v súbehu s iným trestným činom, najčastejšie subvenčným podvodom, pretože finančné prostriedky sú poskytované v percentuálnom pomere z</w:t>
      </w:r>
      <w:r w:rsidR="00FA521D">
        <w:t>o zdrojov EÚ</w:t>
      </w:r>
      <w:r>
        <w:t xml:space="preserve"> a štátneho rozpočtu</w:t>
      </w:r>
      <w:r w:rsidR="00FA521D">
        <w:t xml:space="preserve"> SR</w:t>
      </w:r>
      <w:r>
        <w:t>, ktorých poskytnutie alebo použitie je viazané na podmienky stanovené všeobecne záväzným právnym predpisom, ktoré nespĺňajú</w:t>
      </w:r>
      <w:r w:rsidR="00E6741D">
        <w:t>,</w:t>
      </w:r>
      <w:r>
        <w:t xml:space="preserve"> alebo tým, že ho uvedú do omylu v otázke splnenia týchto podmienok. </w:t>
      </w:r>
    </w:p>
    <w:p w:rsidR="00BA57B0" w:rsidRDefault="00BA57B0" w:rsidP="008A73B6">
      <w:pPr>
        <w:jc w:val="both"/>
      </w:pPr>
    </w:p>
    <w:p w:rsidR="003F68A3" w:rsidRDefault="005C2029" w:rsidP="00CC0A77">
      <w:pPr>
        <w:pStyle w:val="Nadpis2"/>
      </w:pPr>
      <w:bookmarkStart w:id="9" w:name="_Toc355097134"/>
      <w:r>
        <w:t>4</w:t>
      </w:r>
      <w:r w:rsidR="003F68A3">
        <w:t>.1.1 Nezrovnalosti a možnosti ich nahlasovania</w:t>
      </w:r>
      <w:bookmarkEnd w:id="9"/>
    </w:p>
    <w:p w:rsidR="00BE7059" w:rsidRPr="00994444" w:rsidRDefault="00BE7059" w:rsidP="00CC0A77">
      <w:pPr>
        <w:jc w:val="both"/>
        <w:rPr>
          <w:b/>
        </w:rPr>
      </w:pPr>
      <w:r w:rsidRPr="00BE7059">
        <w:t xml:space="preserve">Dôležitou úlohou OCKÚ OLAF v rámci svojej činnosti je </w:t>
      </w:r>
      <w:r w:rsidRPr="00BE7059">
        <w:rPr>
          <w:b/>
        </w:rPr>
        <w:t xml:space="preserve">prijímanie, evidencia a monitorovanie </w:t>
      </w:r>
      <w:r w:rsidRPr="00BE7059">
        <w:t xml:space="preserve">všetkých zistených a odhalených porušení pravidiel pri čerpaní finančných prostriedkov z fondov Európskej únie,  tzv. </w:t>
      </w:r>
      <w:r w:rsidRPr="00BE7059">
        <w:rPr>
          <w:b/>
        </w:rPr>
        <w:t>nezrovnalostí.</w:t>
      </w:r>
      <w:r w:rsidRPr="00BE7059">
        <w:t xml:space="preserve"> </w:t>
      </w:r>
      <w:r w:rsidR="00F97804">
        <w:t xml:space="preserve">V rámci tejto činnosti </w:t>
      </w:r>
      <w:r w:rsidR="00F97804" w:rsidRPr="00994444">
        <w:rPr>
          <w:b/>
        </w:rPr>
        <w:t xml:space="preserve">spolupracuje </w:t>
      </w:r>
      <w:r w:rsidR="00E6741D">
        <w:rPr>
          <w:b/>
        </w:rPr>
        <w:t>s</w:t>
      </w:r>
      <w:r w:rsidR="00E6741D" w:rsidRPr="00994444">
        <w:rPr>
          <w:b/>
        </w:rPr>
        <w:t xml:space="preserve">o </w:t>
      </w:r>
      <w:r w:rsidR="00F97804" w:rsidRPr="00994444">
        <w:rPr>
          <w:b/>
        </w:rPr>
        <w:t>sieťovými partnermi siete AFCOS.</w:t>
      </w:r>
    </w:p>
    <w:p w:rsidR="00BE7059" w:rsidRPr="00BE7059" w:rsidRDefault="00BE7059" w:rsidP="00CC0A77">
      <w:pPr>
        <w:jc w:val="both"/>
      </w:pPr>
      <w:r w:rsidRPr="00BE7059">
        <w:lastRenderedPageBreak/>
        <w:t xml:space="preserve">OCKÚ OLAF všetky nezrovnalosti </w:t>
      </w:r>
      <w:r w:rsidR="00F97804">
        <w:t xml:space="preserve">zasielané sieťovými partnermi </w:t>
      </w:r>
      <w:r w:rsidRPr="00BE7059">
        <w:t>analyzuje</w:t>
      </w:r>
      <w:r w:rsidR="00F97804">
        <w:t xml:space="preserve">. </w:t>
      </w:r>
      <w:r w:rsidR="00E8382E">
        <w:t>Š</w:t>
      </w:r>
      <w:r w:rsidRPr="00BE7059">
        <w:t xml:space="preserve">tvrťročne nahlasuje do </w:t>
      </w:r>
      <w:proofErr w:type="spellStart"/>
      <w:r w:rsidRPr="00BE7059">
        <w:t>OLAF-u</w:t>
      </w:r>
      <w:proofErr w:type="spellEnd"/>
      <w:r w:rsidRPr="00BE7059">
        <w:t xml:space="preserve"> tie nezrovnalosti, ktorých finančný dopad na rozpočet EÚ je nad 10 000 Eur, cez internetový systém Komisie pre nahlasovanie nezrovnalostí </w:t>
      </w:r>
      <w:r>
        <w:t xml:space="preserve">– </w:t>
      </w:r>
      <w:r w:rsidRPr="00BE7059">
        <w:t>IMS</w:t>
      </w:r>
      <w:r>
        <w:t xml:space="preserve">. </w:t>
      </w:r>
      <w:r w:rsidRPr="00BE7059">
        <w:t xml:space="preserve"> </w:t>
      </w:r>
    </w:p>
    <w:p w:rsidR="00560747" w:rsidRPr="00267E0C" w:rsidRDefault="00F97804" w:rsidP="00267E0C">
      <w:pPr>
        <w:jc w:val="both"/>
      </w:pPr>
      <w:r>
        <w:t>V</w:t>
      </w:r>
      <w:r w:rsidRPr="00267E0C">
        <w:t xml:space="preserve"> roku 2012 </w:t>
      </w:r>
      <w:r w:rsidR="00681725" w:rsidRPr="00267E0C">
        <w:t xml:space="preserve">OCKÚ OLAF zaslal </w:t>
      </w:r>
      <w:r w:rsidR="00560747" w:rsidRPr="00267E0C">
        <w:t xml:space="preserve">do </w:t>
      </w:r>
      <w:proofErr w:type="spellStart"/>
      <w:r w:rsidR="00560747" w:rsidRPr="00267E0C">
        <w:t>OLAF-u</w:t>
      </w:r>
      <w:proofErr w:type="spellEnd"/>
      <w:r w:rsidR="00560747" w:rsidRPr="00267E0C">
        <w:t xml:space="preserve"> </w:t>
      </w:r>
      <w:r w:rsidR="008905CA">
        <w:t xml:space="preserve">cez IMS </w:t>
      </w:r>
      <w:r w:rsidR="00560747" w:rsidRPr="00755E8F">
        <w:rPr>
          <w:b/>
        </w:rPr>
        <w:t>38 hlásení</w:t>
      </w:r>
      <w:r w:rsidR="00560747" w:rsidRPr="00267E0C">
        <w:t xml:space="preserve"> za programové obdobie 2004-2006 a </w:t>
      </w:r>
      <w:r w:rsidR="00560747" w:rsidRPr="00755E8F">
        <w:rPr>
          <w:b/>
        </w:rPr>
        <w:t>289 hlásení</w:t>
      </w:r>
      <w:r w:rsidR="00560747" w:rsidRPr="00267E0C">
        <w:t xml:space="preserve"> za programové obdobie 2007-2013</w:t>
      </w:r>
      <w:r w:rsidR="00F85254">
        <w:t xml:space="preserve">. </w:t>
      </w:r>
    </w:p>
    <w:p w:rsidR="00E76994" w:rsidRDefault="00560747" w:rsidP="00053E89">
      <w:pPr>
        <w:jc w:val="both"/>
      </w:pPr>
      <w:r w:rsidRPr="00755E8F">
        <w:t>OCKÚ OLAF vypracováva a na svojej webovej stránke zverejňuje pravidelne aktualizovaný</w:t>
      </w:r>
      <w:r w:rsidRPr="00755E8F">
        <w:rPr>
          <w:b/>
        </w:rPr>
        <w:t xml:space="preserve"> Národný zoznam nezrovnalostí</w:t>
      </w:r>
      <w:r w:rsidR="00543FD0">
        <w:rPr>
          <w:b/>
        </w:rPr>
        <w:t xml:space="preserve"> </w:t>
      </w:r>
      <w:r w:rsidR="00543FD0" w:rsidRPr="000F30F0">
        <w:t xml:space="preserve">(ďalej len „NZN“) </w:t>
      </w:r>
      <w:r w:rsidRPr="00755E8F">
        <w:rPr>
          <w:b/>
        </w:rPr>
        <w:t>.</w:t>
      </w:r>
      <w:r w:rsidR="00A333BE" w:rsidRPr="00755E8F">
        <w:rPr>
          <w:b/>
        </w:rPr>
        <w:t xml:space="preserve"> </w:t>
      </w:r>
      <w:r w:rsidR="008B0E1A" w:rsidRPr="00AA73BE">
        <w:t xml:space="preserve">Ide o </w:t>
      </w:r>
      <w:r w:rsidR="003F68A3" w:rsidRPr="00AA73BE">
        <w:t xml:space="preserve">zoznam </w:t>
      </w:r>
      <w:r w:rsidR="00A62089">
        <w:t xml:space="preserve">všetkých </w:t>
      </w:r>
      <w:r w:rsidR="003F68A3" w:rsidRPr="00AA73BE">
        <w:t>nezrovnalostí</w:t>
      </w:r>
      <w:r w:rsidR="00A62089">
        <w:t xml:space="preserve">, s dôrazom na nezrovnalosti </w:t>
      </w:r>
      <w:r w:rsidR="003F68A3" w:rsidRPr="00AA73BE">
        <w:t>s dopadom na výkaz výdavkov EÚ a nezrovnalost</w:t>
      </w:r>
      <w:r w:rsidR="00A62089">
        <w:t>i</w:t>
      </w:r>
      <w:r w:rsidR="003F68A3" w:rsidRPr="00AA73BE">
        <w:t>, v ktorých je vedené trestné konanie, vzniknutých pri čerpaní pomoci zo ŠF, KF a EFF, nahlásených OCK</w:t>
      </w:r>
      <w:r w:rsidR="008B0E1A" w:rsidRPr="00AA73BE">
        <w:t>Ú</w:t>
      </w:r>
      <w:r w:rsidR="003F68A3" w:rsidRPr="00AA73BE">
        <w:t xml:space="preserve"> OLA</w:t>
      </w:r>
      <w:r w:rsidR="003F68A3" w:rsidRPr="00947A86">
        <w:t>F</w:t>
      </w:r>
      <w:r w:rsidR="008905CA" w:rsidRPr="00947A86">
        <w:t xml:space="preserve">. </w:t>
      </w:r>
      <w:r w:rsidR="00A62089">
        <w:t xml:space="preserve">NZN obsahuje aj systémové a projektové nezrovnalosti bez finančného </w:t>
      </w:r>
      <w:proofErr w:type="spellStart"/>
      <w:r w:rsidR="00A62089">
        <w:t>dopadu.</w:t>
      </w:r>
      <w:r w:rsidRPr="00755E8F">
        <w:t>V</w:t>
      </w:r>
      <w:proofErr w:type="spellEnd"/>
      <w:r w:rsidRPr="00755E8F">
        <w:t xml:space="preserve"> roku 2012 bolo nahlásených </w:t>
      </w:r>
      <w:r w:rsidR="00F45BA0" w:rsidRPr="00755E8F">
        <w:t xml:space="preserve">OCKÚ OLAF </w:t>
      </w:r>
      <w:r w:rsidR="00423976" w:rsidRPr="00755E8F">
        <w:t xml:space="preserve">za jednotlivé operačné programy </w:t>
      </w:r>
      <w:r w:rsidR="00B91CC3" w:rsidRPr="00755E8F">
        <w:t xml:space="preserve">v rámci </w:t>
      </w:r>
      <w:r w:rsidR="00A7215C">
        <w:t xml:space="preserve">štrukturálnych </w:t>
      </w:r>
      <w:r w:rsidR="00B91CC3" w:rsidRPr="00755E8F">
        <w:t xml:space="preserve">fondov EÚ </w:t>
      </w:r>
      <w:r w:rsidRPr="00755E8F">
        <w:rPr>
          <w:b/>
        </w:rPr>
        <w:t>celkovo</w:t>
      </w:r>
      <w:r w:rsidR="00F45BA0" w:rsidRPr="00755E8F">
        <w:rPr>
          <w:b/>
        </w:rPr>
        <w:t xml:space="preserve"> </w:t>
      </w:r>
      <w:r w:rsidR="00962C7F" w:rsidRPr="00755E8F">
        <w:rPr>
          <w:b/>
        </w:rPr>
        <w:t>1</w:t>
      </w:r>
      <w:r w:rsidR="00E6741D">
        <w:rPr>
          <w:b/>
        </w:rPr>
        <w:t xml:space="preserve"> </w:t>
      </w:r>
      <w:r w:rsidR="00962C7F" w:rsidRPr="00755E8F">
        <w:rPr>
          <w:b/>
        </w:rPr>
        <w:t xml:space="preserve">356 </w:t>
      </w:r>
      <w:r w:rsidRPr="00755E8F">
        <w:rPr>
          <w:b/>
        </w:rPr>
        <w:t>nezrovnalostí</w:t>
      </w:r>
      <w:r w:rsidR="00F45BA0" w:rsidRPr="000504CE">
        <w:t>.</w:t>
      </w:r>
      <w:r w:rsidR="00D9015C" w:rsidRPr="000504CE">
        <w:t xml:space="preserve"> </w:t>
      </w:r>
      <w:r w:rsidR="00962C7F" w:rsidRPr="000504CE">
        <w:t xml:space="preserve">V rámci programov cezhraničnej spolupráce (SR-ČR, SR–AT, </w:t>
      </w:r>
      <w:r w:rsidR="00B91CC3" w:rsidRPr="000504CE">
        <w:t>MR</w:t>
      </w:r>
      <w:r w:rsidR="00962C7F" w:rsidRPr="000504CE">
        <w:t>-SR</w:t>
      </w:r>
      <w:r w:rsidR="00B91CC3" w:rsidRPr="000504CE">
        <w:t>, SR-P</w:t>
      </w:r>
      <w:r w:rsidR="00D01756">
        <w:t>R</w:t>
      </w:r>
      <w:r w:rsidR="00B91CC3" w:rsidRPr="000504CE">
        <w:t xml:space="preserve">, </w:t>
      </w:r>
      <w:r w:rsidR="00146753" w:rsidRPr="000504CE">
        <w:t xml:space="preserve">ENPI </w:t>
      </w:r>
      <w:proofErr w:type="spellStart"/>
      <w:r w:rsidR="00B91CC3" w:rsidRPr="000504CE">
        <w:t>MR-SR-RU-Ukrajina</w:t>
      </w:r>
      <w:proofErr w:type="spellEnd"/>
      <w:r w:rsidR="00B91CC3" w:rsidRPr="000504CE">
        <w:t>, OP JVE, OP SE</w:t>
      </w:r>
      <w:r w:rsidR="003255CA" w:rsidRPr="000504CE">
        <w:t>)</w:t>
      </w:r>
      <w:r w:rsidR="003255CA">
        <w:t xml:space="preserve"> </w:t>
      </w:r>
      <w:r w:rsidR="003255CA" w:rsidRPr="000504CE">
        <w:t xml:space="preserve">a v rámci operačných programov </w:t>
      </w:r>
      <w:r w:rsidR="00B91CC3" w:rsidRPr="000504CE">
        <w:t xml:space="preserve">OP </w:t>
      </w:r>
      <w:proofErr w:type="spellStart"/>
      <w:r w:rsidR="00B91CC3" w:rsidRPr="000504CE">
        <w:t>Interreg</w:t>
      </w:r>
      <w:proofErr w:type="spellEnd"/>
      <w:r w:rsidR="00B91CC3" w:rsidRPr="000504CE">
        <w:t xml:space="preserve"> IVC, OP </w:t>
      </w:r>
      <w:proofErr w:type="spellStart"/>
      <w:r w:rsidR="00B91CC3" w:rsidRPr="000504CE">
        <w:t>Interract</w:t>
      </w:r>
      <w:proofErr w:type="spellEnd"/>
      <w:r w:rsidR="00B91CC3" w:rsidRPr="000504CE">
        <w:t xml:space="preserve"> II, OP </w:t>
      </w:r>
      <w:proofErr w:type="spellStart"/>
      <w:r w:rsidR="00B91CC3" w:rsidRPr="000504CE">
        <w:t>Urbact</w:t>
      </w:r>
      <w:proofErr w:type="spellEnd"/>
      <w:r w:rsidR="00B91CC3" w:rsidRPr="000504CE">
        <w:t xml:space="preserve"> II, OP ESPON</w:t>
      </w:r>
      <w:r w:rsidR="00E6741D">
        <w:t>,</w:t>
      </w:r>
      <w:r w:rsidR="00962C7F" w:rsidRPr="000504CE">
        <w:t xml:space="preserve"> bolo nahlásených 10 nezrovnalostí. Za programové obdobie 2004-2006 bolo nahlásených 30 nezrovnalostí, za predvstupový nástroj štrukturálnej politiky ISPA (následne Kohézny fond) bola nahlásená 1 nezrovnalosť a v rámci </w:t>
      </w:r>
      <w:r w:rsidR="008C2B52">
        <w:t xml:space="preserve">Spoločnej poľnohospodárskej politiky </w:t>
      </w:r>
      <w:r w:rsidR="00962C7F" w:rsidRPr="000504CE">
        <w:t>bolo nahlásených 34 nezrovnalostí.</w:t>
      </w:r>
    </w:p>
    <w:p w:rsidR="00423976" w:rsidRDefault="00604C26" w:rsidP="00A22BD1">
      <w:pPr>
        <w:jc w:val="both"/>
        <w:rPr>
          <w:color w:val="000000" w:themeColor="text1"/>
        </w:rPr>
      </w:pPr>
      <w:r w:rsidRPr="002F7999">
        <w:rPr>
          <w:color w:val="000000" w:themeColor="text1"/>
        </w:rPr>
        <w:t>Na webov</w:t>
      </w:r>
      <w:r w:rsidR="00E76994">
        <w:rPr>
          <w:color w:val="000000" w:themeColor="text1"/>
        </w:rPr>
        <w:t xml:space="preserve">ej stránke </w:t>
      </w:r>
      <w:r w:rsidRPr="002F7999">
        <w:rPr>
          <w:color w:val="000000" w:themeColor="text1"/>
        </w:rPr>
        <w:t>OCKÚ OLAF</w:t>
      </w:r>
      <w:r w:rsidR="00E6741D">
        <w:rPr>
          <w:color w:val="000000" w:themeColor="text1"/>
        </w:rPr>
        <w:t>,</w:t>
      </w:r>
      <w:r w:rsidR="004E3D10" w:rsidRPr="002F7999">
        <w:rPr>
          <w:color w:val="000000" w:themeColor="text1"/>
        </w:rPr>
        <w:t xml:space="preserve"> ako aj na webových stránkach </w:t>
      </w:r>
      <w:r w:rsidR="00F97804">
        <w:rPr>
          <w:color w:val="000000" w:themeColor="text1"/>
        </w:rPr>
        <w:t xml:space="preserve">ostatných </w:t>
      </w:r>
      <w:r w:rsidR="004E3D10" w:rsidRPr="002F7999">
        <w:rPr>
          <w:color w:val="000000" w:themeColor="text1"/>
        </w:rPr>
        <w:t>sieťových partnerov</w:t>
      </w:r>
      <w:r w:rsidR="00E6741D">
        <w:rPr>
          <w:color w:val="000000" w:themeColor="text1"/>
        </w:rPr>
        <w:t>,</w:t>
      </w:r>
      <w:r w:rsidRPr="002F7999">
        <w:rPr>
          <w:color w:val="000000" w:themeColor="text1"/>
        </w:rPr>
        <w:t xml:space="preserve"> je zverejnená </w:t>
      </w:r>
      <w:r w:rsidR="005D5B06" w:rsidRPr="002F7999">
        <w:rPr>
          <w:color w:val="000000" w:themeColor="text1"/>
        </w:rPr>
        <w:t>e-mailov</w:t>
      </w:r>
      <w:r w:rsidRPr="002F7999">
        <w:rPr>
          <w:color w:val="000000" w:themeColor="text1"/>
        </w:rPr>
        <w:t>á</w:t>
      </w:r>
      <w:r w:rsidR="005D5B06" w:rsidRPr="002F7999">
        <w:rPr>
          <w:color w:val="000000" w:themeColor="text1"/>
        </w:rPr>
        <w:t xml:space="preserve"> adres</w:t>
      </w:r>
      <w:r w:rsidRPr="002F7999">
        <w:rPr>
          <w:color w:val="000000" w:themeColor="text1"/>
        </w:rPr>
        <w:t>a</w:t>
      </w:r>
      <w:r w:rsidR="005D5B06" w:rsidRPr="002F7999">
        <w:rPr>
          <w:color w:val="000000" w:themeColor="text1"/>
        </w:rPr>
        <w:t xml:space="preserve"> </w:t>
      </w:r>
      <w:hyperlink r:id="rId10" w:history="1">
        <w:r w:rsidR="005D5B06" w:rsidRPr="002F7999">
          <w:rPr>
            <w:rStyle w:val="Hypertextovprepojenie"/>
            <w:b/>
            <w:color w:val="000000" w:themeColor="text1"/>
          </w:rPr>
          <w:t>nezrovnalosti@vlada.gov.sk</w:t>
        </w:r>
      </w:hyperlink>
      <w:r w:rsidRPr="002F7999">
        <w:rPr>
          <w:color w:val="000000" w:themeColor="text1"/>
        </w:rPr>
        <w:t xml:space="preserve"> určená</w:t>
      </w:r>
      <w:r w:rsidR="005D5B06" w:rsidRPr="002F7999">
        <w:rPr>
          <w:color w:val="000000" w:themeColor="text1"/>
        </w:rPr>
        <w:t xml:space="preserve"> </w:t>
      </w:r>
      <w:r w:rsidRPr="002F7999">
        <w:rPr>
          <w:color w:val="000000" w:themeColor="text1"/>
        </w:rPr>
        <w:t>verejnosti pre nahlasovanie podozrení z nezrovnalostí, ktoré sú následne riešené pracovníkmi OCKÚ OLAF ako podania</w:t>
      </w:r>
      <w:r w:rsidR="00423976" w:rsidRPr="002F7999">
        <w:rPr>
          <w:color w:val="000000" w:themeColor="text1"/>
        </w:rPr>
        <w:t>.</w:t>
      </w:r>
      <w:r w:rsidR="00F97804">
        <w:rPr>
          <w:color w:val="000000" w:themeColor="text1"/>
        </w:rPr>
        <w:t xml:space="preserve"> </w:t>
      </w:r>
    </w:p>
    <w:p w:rsidR="009C1946" w:rsidRDefault="009C1946" w:rsidP="00A22BD1">
      <w:pPr>
        <w:jc w:val="both"/>
        <w:rPr>
          <w:color w:val="000000" w:themeColor="text1"/>
        </w:rPr>
      </w:pPr>
      <w:r w:rsidRPr="00AA73BE">
        <w:rPr>
          <w:b/>
          <w:color w:val="000000" w:themeColor="text1"/>
        </w:rPr>
        <w:t xml:space="preserve">ÚVO </w:t>
      </w:r>
      <w:r w:rsidRPr="005C2029">
        <w:rPr>
          <w:color w:val="000000" w:themeColor="text1"/>
        </w:rPr>
        <w:t>zriadilo a zverejnilo</w:t>
      </w:r>
      <w:r>
        <w:rPr>
          <w:b/>
          <w:color w:val="000000" w:themeColor="text1"/>
        </w:rPr>
        <w:t xml:space="preserve"> </w:t>
      </w:r>
      <w:r w:rsidR="00F97804">
        <w:rPr>
          <w:color w:val="000000" w:themeColor="text1"/>
        </w:rPr>
        <w:t xml:space="preserve">na svojej webovej stránke </w:t>
      </w:r>
      <w:r>
        <w:t xml:space="preserve">samostatnú </w:t>
      </w:r>
      <w:r w:rsidR="00F97804">
        <w:t xml:space="preserve">emailovú adresu </w:t>
      </w:r>
      <w:r w:rsidR="00F97804" w:rsidRPr="00F97804">
        <w:rPr>
          <w:color w:val="000000" w:themeColor="text1"/>
        </w:rPr>
        <w:t xml:space="preserve">pre nahlasovanie podozrení z nezrovnalostí </w:t>
      </w:r>
      <w:r w:rsidR="00F97804">
        <w:rPr>
          <w:color w:val="000000" w:themeColor="text1"/>
        </w:rPr>
        <w:t xml:space="preserve">pri </w:t>
      </w:r>
      <w:r w:rsidR="00F97804" w:rsidRPr="00F97804">
        <w:rPr>
          <w:color w:val="000000" w:themeColor="text1"/>
        </w:rPr>
        <w:t>verejnom obstarávaní</w:t>
      </w:r>
      <w:r w:rsidR="008905CA" w:rsidRPr="008905CA">
        <w:rPr>
          <w:b/>
          <w:color w:val="000000" w:themeColor="text1"/>
        </w:rPr>
        <w:t xml:space="preserve"> </w:t>
      </w:r>
      <w:proofErr w:type="spellStart"/>
      <w:r w:rsidR="008905CA" w:rsidRPr="00CC0A77">
        <w:rPr>
          <w:b/>
          <w:color w:val="000000" w:themeColor="text1"/>
        </w:rPr>
        <w:t>nezrovnalosti@uvo.gov.sk</w:t>
      </w:r>
      <w:proofErr w:type="spellEnd"/>
      <w:r w:rsidR="00F97804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</w:p>
    <w:p w:rsidR="00604C26" w:rsidRDefault="00423976" w:rsidP="00A22BD1">
      <w:pPr>
        <w:jc w:val="both"/>
        <w:rPr>
          <w:color w:val="000000" w:themeColor="text1"/>
        </w:rPr>
      </w:pPr>
      <w:r w:rsidRPr="002F7999">
        <w:rPr>
          <w:color w:val="000000" w:themeColor="text1"/>
        </w:rPr>
        <w:t>T</w:t>
      </w:r>
      <w:r w:rsidR="00D96128" w:rsidRPr="002F7999">
        <w:rPr>
          <w:color w:val="000000" w:themeColor="text1"/>
        </w:rPr>
        <w:t xml:space="preserve">aktiež </w:t>
      </w:r>
      <w:r w:rsidRPr="002F7999">
        <w:rPr>
          <w:color w:val="000000" w:themeColor="text1"/>
        </w:rPr>
        <w:t xml:space="preserve">je na webovej stránke OCKÚ OLAF zverejnená </w:t>
      </w:r>
      <w:r w:rsidR="005D5B06" w:rsidRPr="002F7999">
        <w:rPr>
          <w:color w:val="000000" w:themeColor="text1"/>
        </w:rPr>
        <w:t>informáci</w:t>
      </w:r>
      <w:r w:rsidR="00D96128" w:rsidRPr="002F7999">
        <w:rPr>
          <w:color w:val="000000" w:themeColor="text1"/>
        </w:rPr>
        <w:t>a</w:t>
      </w:r>
      <w:r w:rsidR="005D5B06" w:rsidRPr="002F7999">
        <w:rPr>
          <w:color w:val="000000" w:themeColor="text1"/>
        </w:rPr>
        <w:t xml:space="preserve"> o on-line systéme </w:t>
      </w:r>
      <w:proofErr w:type="spellStart"/>
      <w:r w:rsidR="005D5B06" w:rsidRPr="002F7999">
        <w:rPr>
          <w:color w:val="000000" w:themeColor="text1"/>
        </w:rPr>
        <w:t>OLAF-u</w:t>
      </w:r>
      <w:proofErr w:type="spellEnd"/>
      <w:r w:rsidR="005D5B06" w:rsidRPr="002F7999">
        <w:rPr>
          <w:color w:val="000000" w:themeColor="text1"/>
        </w:rPr>
        <w:t xml:space="preserve"> pre anonymné oznamovanie podvodov</w:t>
      </w:r>
      <w:r w:rsidR="00D96128" w:rsidRPr="002F7999">
        <w:rPr>
          <w:color w:val="000000" w:themeColor="text1"/>
        </w:rPr>
        <w:t xml:space="preserve">, tzv. </w:t>
      </w:r>
      <w:proofErr w:type="spellStart"/>
      <w:r w:rsidR="006218FC">
        <w:rPr>
          <w:color w:val="000000" w:themeColor="text1"/>
        </w:rPr>
        <w:t>F</w:t>
      </w:r>
      <w:r w:rsidR="00D96128" w:rsidRPr="002F7999">
        <w:rPr>
          <w:color w:val="000000" w:themeColor="text1"/>
        </w:rPr>
        <w:t>raud</w:t>
      </w:r>
      <w:proofErr w:type="spellEnd"/>
      <w:r w:rsidR="00D96128" w:rsidRPr="002F7999">
        <w:rPr>
          <w:color w:val="000000" w:themeColor="text1"/>
        </w:rPr>
        <w:t xml:space="preserve"> </w:t>
      </w:r>
      <w:proofErr w:type="spellStart"/>
      <w:r w:rsidR="00D96128" w:rsidRPr="002F7999">
        <w:rPr>
          <w:color w:val="000000" w:themeColor="text1"/>
        </w:rPr>
        <w:t>notification</w:t>
      </w:r>
      <w:proofErr w:type="spellEnd"/>
      <w:r w:rsidR="00D96128" w:rsidRPr="002F7999">
        <w:rPr>
          <w:color w:val="000000" w:themeColor="text1"/>
        </w:rPr>
        <w:t xml:space="preserve"> </w:t>
      </w:r>
      <w:proofErr w:type="spellStart"/>
      <w:r w:rsidR="00D96128" w:rsidRPr="002F7999">
        <w:rPr>
          <w:color w:val="000000" w:themeColor="text1"/>
        </w:rPr>
        <w:t>system</w:t>
      </w:r>
      <w:proofErr w:type="spellEnd"/>
      <w:r w:rsidRPr="002F7999">
        <w:rPr>
          <w:color w:val="000000" w:themeColor="text1"/>
        </w:rPr>
        <w:t xml:space="preserve"> </w:t>
      </w:r>
      <w:r w:rsidR="006218FC" w:rsidRPr="002F7999">
        <w:rPr>
          <w:color w:val="000000" w:themeColor="text1"/>
        </w:rPr>
        <w:t>FNS</w:t>
      </w:r>
      <w:r w:rsidR="006218FC">
        <w:t xml:space="preserve"> </w:t>
      </w:r>
      <w:hyperlink r:id="rId11" w:history="1">
        <w:r w:rsidR="00E6741D" w:rsidRPr="00A26BC0">
          <w:rPr>
            <w:rStyle w:val="Hypertextovprepojenie"/>
          </w:rPr>
          <w:t>http://ec.europa.eu/anti_fraud/investigations/report-fraud/index_sk.htm</w:t>
        </w:r>
      </w:hyperlink>
      <w:r w:rsidRPr="002F7999">
        <w:rPr>
          <w:color w:val="000000" w:themeColor="text1"/>
        </w:rPr>
        <w:t xml:space="preserve">. </w:t>
      </w:r>
    </w:p>
    <w:p w:rsidR="006F0412" w:rsidRDefault="009C1946" w:rsidP="00092260">
      <w:pPr>
        <w:jc w:val="both"/>
        <w:rPr>
          <w:color w:val="000000" w:themeColor="text1"/>
        </w:rPr>
      </w:pPr>
      <w:r w:rsidRPr="005C2029">
        <w:rPr>
          <w:b/>
          <w:color w:val="000000" w:themeColor="text1"/>
        </w:rPr>
        <w:t>NAKA</w:t>
      </w:r>
      <w:r w:rsidR="00092260">
        <w:rPr>
          <w:b/>
          <w:color w:val="000000" w:themeColor="text1"/>
        </w:rPr>
        <w:t xml:space="preserve"> P</w:t>
      </w:r>
      <w:r w:rsidR="00543FD0">
        <w:rPr>
          <w:b/>
          <w:color w:val="000000" w:themeColor="text1"/>
        </w:rPr>
        <w:t xml:space="preserve"> </w:t>
      </w:r>
      <w:r w:rsidR="00092260">
        <w:rPr>
          <w:b/>
          <w:color w:val="000000" w:themeColor="text1"/>
        </w:rPr>
        <w:t>PZ</w:t>
      </w:r>
      <w:r>
        <w:rPr>
          <w:color w:val="000000" w:themeColor="text1"/>
        </w:rPr>
        <w:t>,</w:t>
      </w:r>
      <w:r w:rsidR="005C2029">
        <w:rPr>
          <w:color w:val="000000" w:themeColor="text1"/>
        </w:rPr>
        <w:t xml:space="preserve"> </w:t>
      </w:r>
      <w:r w:rsidR="006F0412" w:rsidRPr="006F0412">
        <w:rPr>
          <w:color w:val="000000" w:themeColor="text1"/>
        </w:rPr>
        <w:t>o</w:t>
      </w:r>
      <w:r w:rsidR="00D3267C">
        <w:rPr>
          <w:color w:val="000000" w:themeColor="text1"/>
        </w:rPr>
        <w:t>krem iného</w:t>
      </w:r>
      <w:r w:rsidR="00E6741D">
        <w:rPr>
          <w:color w:val="000000" w:themeColor="text1"/>
        </w:rPr>
        <w:t>,</w:t>
      </w:r>
      <w:r w:rsidR="00D3267C">
        <w:rPr>
          <w:color w:val="000000" w:themeColor="text1"/>
        </w:rPr>
        <w:t xml:space="preserve"> </w:t>
      </w:r>
      <w:r w:rsidR="006F0412" w:rsidRPr="006F0412">
        <w:rPr>
          <w:color w:val="000000" w:themeColor="text1"/>
        </w:rPr>
        <w:t>s vecnou príslušnosťou pre trestné činy poškodzovania fina</w:t>
      </w:r>
      <w:r w:rsidR="006A5402">
        <w:rPr>
          <w:color w:val="000000" w:themeColor="text1"/>
        </w:rPr>
        <w:t>nčných záujmov ES podľa § 261 až</w:t>
      </w:r>
      <w:r w:rsidR="006F0412" w:rsidRPr="006F0412">
        <w:rPr>
          <w:color w:val="000000" w:themeColor="text1"/>
        </w:rPr>
        <w:t xml:space="preserve"> 263 Trestného zákona, v spolupráci </w:t>
      </w:r>
      <w:r w:rsidR="005D11D8">
        <w:rPr>
          <w:color w:val="000000" w:themeColor="text1"/>
        </w:rPr>
        <w:t xml:space="preserve">s </w:t>
      </w:r>
      <w:r w:rsidR="006F0412" w:rsidRPr="006F0412">
        <w:rPr>
          <w:color w:val="000000" w:themeColor="text1"/>
        </w:rPr>
        <w:t>OCK</w:t>
      </w:r>
      <w:r w:rsidR="00D3267C">
        <w:rPr>
          <w:color w:val="000000" w:themeColor="text1"/>
        </w:rPr>
        <w:t>Ú</w:t>
      </w:r>
      <w:r w:rsidR="006F0412" w:rsidRPr="006F0412">
        <w:rPr>
          <w:color w:val="000000" w:themeColor="text1"/>
        </w:rPr>
        <w:t xml:space="preserve"> OLAF, ako orgánom zabezpečujúcim ochranu finančných záujmov Európskej únie v SR, zriadila e-mailovú schránku </w:t>
      </w:r>
      <w:proofErr w:type="spellStart"/>
      <w:r w:rsidR="00925D28" w:rsidRPr="001D4300">
        <w:rPr>
          <w:b/>
          <w:color w:val="000000" w:themeColor="text1"/>
        </w:rPr>
        <w:t>infoirq@minv.sk</w:t>
      </w:r>
      <w:proofErr w:type="spellEnd"/>
      <w:r w:rsidR="00925D28" w:rsidRPr="00925D28">
        <w:rPr>
          <w:color w:val="000000" w:themeColor="text1"/>
        </w:rPr>
        <w:t xml:space="preserve"> </w:t>
      </w:r>
      <w:r w:rsidR="006F0412" w:rsidRPr="006F0412">
        <w:rPr>
          <w:color w:val="000000" w:themeColor="text1"/>
        </w:rPr>
        <w:t>na účely oznamovania podozrení z trestných činov, ktoré majú dopad na finančné záujmy EÚ.</w:t>
      </w:r>
      <w:r>
        <w:rPr>
          <w:color w:val="000000" w:themeColor="text1"/>
        </w:rPr>
        <w:t xml:space="preserve"> </w:t>
      </w:r>
      <w:r w:rsidR="00BE7059">
        <w:rPr>
          <w:color w:val="000000" w:themeColor="text1"/>
        </w:rPr>
        <w:t xml:space="preserve">Uvedená </w:t>
      </w:r>
      <w:r w:rsidR="00925D28">
        <w:rPr>
          <w:color w:val="000000" w:themeColor="text1"/>
        </w:rPr>
        <w:t>e</w:t>
      </w:r>
      <w:r w:rsidR="006F0412" w:rsidRPr="006F0412">
        <w:rPr>
          <w:color w:val="000000" w:themeColor="text1"/>
        </w:rPr>
        <w:t>-mailová schránka slú</w:t>
      </w:r>
      <w:r w:rsidR="006A5402">
        <w:rPr>
          <w:color w:val="000000" w:themeColor="text1"/>
        </w:rPr>
        <w:t>ž</w:t>
      </w:r>
      <w:r w:rsidR="006F0412" w:rsidRPr="006F0412">
        <w:rPr>
          <w:color w:val="000000" w:themeColor="text1"/>
        </w:rPr>
        <w:t xml:space="preserve">i </w:t>
      </w:r>
      <w:r w:rsidR="006A5402">
        <w:rPr>
          <w:color w:val="000000" w:themeColor="text1"/>
        </w:rPr>
        <w:t>z</w:t>
      </w:r>
      <w:r w:rsidR="006A5402" w:rsidRPr="002F7999">
        <w:rPr>
          <w:color w:val="000000" w:themeColor="text1"/>
        </w:rPr>
        <w:t>amestnancom verejnej správy</w:t>
      </w:r>
      <w:r w:rsidR="006A5402">
        <w:rPr>
          <w:color w:val="000000" w:themeColor="text1"/>
        </w:rPr>
        <w:t xml:space="preserve"> </w:t>
      </w:r>
      <w:r w:rsidR="006F0412" w:rsidRPr="006F0412">
        <w:rPr>
          <w:color w:val="000000" w:themeColor="text1"/>
        </w:rPr>
        <w:t xml:space="preserve">na zasielanie podnetov, ktorých obsahom je podozrenie </w:t>
      </w:r>
      <w:r w:rsidR="00925D28">
        <w:rPr>
          <w:color w:val="000000" w:themeColor="text1"/>
        </w:rPr>
        <w:t xml:space="preserve">z </w:t>
      </w:r>
      <w:r w:rsidR="00925D28" w:rsidRPr="002F7999">
        <w:rPr>
          <w:color w:val="000000" w:themeColor="text1"/>
        </w:rPr>
        <w:t>možného protizákonného konania subjektov v oblasti implementácie finančných prostriedkov EÚ</w:t>
      </w:r>
      <w:r w:rsidR="00BE7059">
        <w:rPr>
          <w:color w:val="000000" w:themeColor="text1"/>
        </w:rPr>
        <w:t xml:space="preserve"> </w:t>
      </w:r>
      <w:r w:rsidR="006F0412" w:rsidRPr="006F0412">
        <w:rPr>
          <w:color w:val="000000" w:themeColor="text1"/>
        </w:rPr>
        <w:t>s dopadom na finančné prostriedky Európskej únie a štátneho rozpočtu</w:t>
      </w:r>
      <w:r w:rsidR="005D11D8">
        <w:rPr>
          <w:color w:val="000000" w:themeColor="text1"/>
        </w:rPr>
        <w:t>.</w:t>
      </w:r>
    </w:p>
    <w:p w:rsidR="00BA57B0" w:rsidRDefault="00BA57B0" w:rsidP="00092260">
      <w:pPr>
        <w:jc w:val="both"/>
        <w:rPr>
          <w:color w:val="000000" w:themeColor="text1"/>
        </w:rPr>
      </w:pPr>
    </w:p>
    <w:p w:rsidR="0097198E" w:rsidRDefault="0097198E" w:rsidP="00092260">
      <w:pPr>
        <w:jc w:val="both"/>
        <w:rPr>
          <w:color w:val="000000" w:themeColor="text1"/>
        </w:rPr>
      </w:pPr>
    </w:p>
    <w:p w:rsidR="0097198E" w:rsidRDefault="0097198E" w:rsidP="00092260">
      <w:pPr>
        <w:jc w:val="both"/>
        <w:rPr>
          <w:color w:val="000000" w:themeColor="text1"/>
        </w:rPr>
      </w:pPr>
    </w:p>
    <w:p w:rsidR="0097198E" w:rsidRDefault="0097198E" w:rsidP="00092260">
      <w:pPr>
        <w:jc w:val="both"/>
        <w:rPr>
          <w:color w:val="000000" w:themeColor="text1"/>
        </w:rPr>
      </w:pPr>
    </w:p>
    <w:p w:rsidR="0097198E" w:rsidRDefault="0097198E" w:rsidP="00092260">
      <w:pPr>
        <w:jc w:val="both"/>
        <w:rPr>
          <w:color w:val="000000" w:themeColor="text1"/>
        </w:rPr>
      </w:pPr>
    </w:p>
    <w:p w:rsidR="00E00008" w:rsidRDefault="005C2029" w:rsidP="00E00008">
      <w:pPr>
        <w:pStyle w:val="Nadpis2"/>
      </w:pPr>
      <w:bookmarkStart w:id="10" w:name="_Toc355097135"/>
      <w:r>
        <w:lastRenderedPageBreak/>
        <w:t>4</w:t>
      </w:r>
      <w:r w:rsidR="00E00008" w:rsidRPr="00E00008">
        <w:t>.2 Ostatní sieťoví partneri</w:t>
      </w:r>
      <w:bookmarkEnd w:id="10"/>
    </w:p>
    <w:p w:rsidR="00BA57B0" w:rsidRPr="00BA57B0" w:rsidRDefault="00BA57B0" w:rsidP="00BA57B0"/>
    <w:p w:rsidR="009125D7" w:rsidRPr="000F30F0" w:rsidRDefault="009125D7" w:rsidP="009125D7">
      <w:pPr>
        <w:jc w:val="both"/>
      </w:pPr>
      <w:r w:rsidRPr="000F30F0">
        <w:t xml:space="preserve">Poslaním </w:t>
      </w:r>
      <w:r w:rsidRPr="00175C89">
        <w:rPr>
          <w:b/>
        </w:rPr>
        <w:t>FS SR</w:t>
      </w:r>
      <w:r w:rsidRPr="000F30F0">
        <w:t xml:space="preserve"> je najmä ochrana ekonomických a finančných záujmov Slovenskej republiky, napĺňanie štátneho rozpočtu, zamedzovanie porušovaniu colných a daňových </w:t>
      </w:r>
      <w:proofErr w:type="spellStart"/>
      <w:r w:rsidRPr="000F30F0">
        <w:t>predpipov</w:t>
      </w:r>
      <w:proofErr w:type="spellEnd"/>
      <w:r w:rsidRPr="000F30F0">
        <w:t>, správa spotrebných daní  a ochrana ekonomických a finančných záujmov EÚ.</w:t>
      </w:r>
    </w:p>
    <w:p w:rsidR="009125D7" w:rsidRPr="000F30F0" w:rsidRDefault="009125D7" w:rsidP="009125D7">
      <w:pPr>
        <w:jc w:val="both"/>
      </w:pPr>
      <w:r w:rsidRPr="000F30F0">
        <w:t xml:space="preserve">FS SR je do nahlasovania zistených nezrovnalostí v súvislosti s ochranou finančných záujmov EÚ zapojená  prostredníctvom sieťovej elektronickej komunikácie OWNRES, ktorej náležitosti určuje Európska komisia, a ktorá slúži na zhromažďovanie a evidenciu odhalených nezrovnalostí zistených v oblasti tradičných vlastných zdrojov vo výške nad 10 000 EUR a ich oznamovanie Európskej komisii podľa čl. 6 ods. 5 nariadenia Rady (ES, EURATOM) č. 1150/2000. </w:t>
      </w:r>
    </w:p>
    <w:p w:rsidR="007E12F2" w:rsidRDefault="007E12F2" w:rsidP="009125D7">
      <w:pPr>
        <w:jc w:val="both"/>
      </w:pPr>
      <w:r w:rsidRPr="007E12F2">
        <w:rPr>
          <w:b/>
        </w:rPr>
        <w:t>F</w:t>
      </w:r>
      <w:r w:rsidR="00A7215C">
        <w:rPr>
          <w:b/>
        </w:rPr>
        <w:t>S SR</w:t>
      </w:r>
      <w:r w:rsidR="009C1946">
        <w:rPr>
          <w:b/>
        </w:rPr>
        <w:t xml:space="preserve"> </w:t>
      </w:r>
      <w:r w:rsidRPr="00267E0C">
        <w:t>disponuje značným množstvom odhalení protiprávnej činnosti (pašovanie tovaru, nezákonný obchod s tovarom, nezákonná výroba a distribúcia liehu, drog, cigariet</w:t>
      </w:r>
      <w:r w:rsidR="000C5DFC">
        <w:t xml:space="preserve">, atď. </w:t>
      </w:r>
      <w:r w:rsidRPr="00267E0C">
        <w:t>). Pri odhaľovaní nezákonnej činnosti spolupracuje tak s vnútroštátnymi orgánmi SR</w:t>
      </w:r>
      <w:r w:rsidR="00E6741D">
        <w:t>,</w:t>
      </w:r>
      <w:r w:rsidRPr="00267E0C">
        <w:t xml:space="preserve"> napr. s</w:t>
      </w:r>
      <w:r w:rsidR="004E3D10">
        <w:t> </w:t>
      </w:r>
      <w:r w:rsidR="00D6427C">
        <w:t>PPZ</w:t>
      </w:r>
      <w:r w:rsidRPr="00267E0C">
        <w:t xml:space="preserve">, ako aj so zahraničnými colnými správami (viď </w:t>
      </w:r>
      <w:hyperlink r:id="rId12" w:history="1">
        <w:r w:rsidR="009C1946" w:rsidRPr="00DA6BCF">
          <w:rPr>
            <w:rStyle w:val="Hypertextovprepojenie"/>
          </w:rPr>
          <w:t>www.financnasprava.sk/sk/finsprava/statistiky/stats-clo.html</w:t>
        </w:r>
      </w:hyperlink>
      <w:r w:rsidRPr="00267E0C">
        <w:t>)</w:t>
      </w:r>
      <w:r w:rsidR="009C1946">
        <w:t xml:space="preserve">. </w:t>
      </w:r>
      <w:r w:rsidRPr="00267E0C">
        <w:t xml:space="preserve">Taktiež sa zapája do </w:t>
      </w:r>
      <w:r w:rsidR="004F3046">
        <w:t>s</w:t>
      </w:r>
      <w:r w:rsidRPr="00267E0C">
        <w:t xml:space="preserve">poločných </w:t>
      </w:r>
      <w:r w:rsidR="000C5DFC">
        <w:t xml:space="preserve">medzinárodných </w:t>
      </w:r>
      <w:r w:rsidRPr="00267E0C">
        <w:t>operácií</w:t>
      </w:r>
      <w:r w:rsidR="000C5DFC">
        <w:t xml:space="preserve"> </w:t>
      </w:r>
      <w:r w:rsidR="000C5DFC" w:rsidRPr="000C5DFC">
        <w:t>pri odhaľovaní medzinárodných reťazcov podvodov</w:t>
      </w:r>
      <w:r w:rsidRPr="00267E0C">
        <w:t>.</w:t>
      </w:r>
    </w:p>
    <w:p w:rsidR="000C5DFC" w:rsidRPr="00267E0C" w:rsidRDefault="000C5DFC" w:rsidP="009125D7">
      <w:pPr>
        <w:jc w:val="both"/>
      </w:pPr>
      <w:r w:rsidRPr="000C5DFC">
        <w:t>FR SR spolu s Kriminálnym úradom  finančnej správy, ktorý je komunikáto</w:t>
      </w:r>
      <w:r w:rsidR="00E02EC5">
        <w:t>ro</w:t>
      </w:r>
      <w:r w:rsidRPr="000C5DFC">
        <w:t xml:space="preserve">m siete </w:t>
      </w:r>
      <w:proofErr w:type="spellStart"/>
      <w:r w:rsidRPr="000C5DFC">
        <w:t>OLAF-u</w:t>
      </w:r>
      <w:proofErr w:type="spellEnd"/>
      <w:r w:rsidRPr="000C5DFC">
        <w:t xml:space="preserve"> – </w:t>
      </w:r>
      <w:proofErr w:type="spellStart"/>
      <w:r w:rsidRPr="000C5DFC">
        <w:t>Anti-fraud</w:t>
      </w:r>
      <w:proofErr w:type="spellEnd"/>
      <w:r w:rsidRPr="000C5DFC">
        <w:t xml:space="preserve"> </w:t>
      </w:r>
      <w:proofErr w:type="spellStart"/>
      <w:r w:rsidRPr="000C5DFC">
        <w:t>Communicators</w:t>
      </w:r>
      <w:proofErr w:type="spellEnd"/>
      <w:r w:rsidR="00A62089">
        <w:t xml:space="preserve">´ </w:t>
      </w:r>
      <w:proofErr w:type="spellStart"/>
      <w:r w:rsidR="00A62089">
        <w:t>Network</w:t>
      </w:r>
      <w:proofErr w:type="spellEnd"/>
      <w:r w:rsidR="00662C3B">
        <w:t xml:space="preserve"> (</w:t>
      </w:r>
      <w:bookmarkStart w:id="11" w:name="_GoBack"/>
      <w:bookmarkEnd w:id="11"/>
      <w:r w:rsidR="00662C3B">
        <w:t>OAFCN)</w:t>
      </w:r>
      <w:r w:rsidRPr="000C5DFC">
        <w:t>, plnia úlohu spojovacieho článku medzi európskymi prioritami na jednej strane a národnými prioritami na strane druhej v oblasti ochrany finančných záujmov EÚ.</w:t>
      </w:r>
    </w:p>
    <w:p w:rsidR="007E12F2" w:rsidRPr="00267E0C" w:rsidRDefault="000C5DFC" w:rsidP="00267E0C">
      <w:pPr>
        <w:jc w:val="both"/>
      </w:pPr>
      <w:r w:rsidRPr="000C5DFC">
        <w:t>Na účely oboznámenia  s vyššie uvedenou činnosťou je zriadená webová stránka</w:t>
      </w:r>
      <w:r w:rsidRPr="000F30F0">
        <w:rPr>
          <w:b/>
        </w:rPr>
        <w:t xml:space="preserve"> </w:t>
      </w:r>
      <w:hyperlink r:id="rId13" w:history="1">
        <w:r w:rsidR="00925D28" w:rsidRPr="002832D0">
          <w:rPr>
            <w:rStyle w:val="Hypertextovprepojenie"/>
          </w:rPr>
          <w:t>http://www.financnasprava.sk/index.html</w:t>
        </w:r>
      </w:hyperlink>
      <w:r w:rsidR="007E12F2" w:rsidRPr="00267E0C">
        <w:t>, na ktorej môž</w:t>
      </w:r>
      <w:r>
        <w:t>e</w:t>
      </w:r>
      <w:r w:rsidR="007E12F2" w:rsidRPr="00267E0C">
        <w:t xml:space="preserve"> </w:t>
      </w:r>
      <w:r w:rsidRPr="000C5DFC">
        <w:t xml:space="preserve">široká občianska a podnikateľská verejnosť  vyhľadať </w:t>
      </w:r>
      <w:r w:rsidR="007E12F2" w:rsidRPr="00267E0C">
        <w:t xml:space="preserve">potrebné informácie. </w:t>
      </w:r>
    </w:p>
    <w:p w:rsidR="007E12F2" w:rsidRDefault="007E12F2" w:rsidP="00267E0C">
      <w:pPr>
        <w:jc w:val="both"/>
      </w:pPr>
      <w:r w:rsidRPr="00267E0C">
        <w:t xml:space="preserve">Za účelom oboznámenia </w:t>
      </w:r>
      <w:r w:rsidR="000C5DFC" w:rsidRPr="000C5DFC">
        <w:t xml:space="preserve">širokej občianskej a podnikateľskej verejnosti s činnosťou FS </w:t>
      </w:r>
      <w:r w:rsidR="00175C89">
        <w:t>S</w:t>
      </w:r>
      <w:r w:rsidR="000C5DFC" w:rsidRPr="000C5DFC">
        <w:t xml:space="preserve">R vrátane ochrany finančných záujmov EÚ, okrem prezentácie v médiách a prostredníctvom tlačových správ, </w:t>
      </w:r>
      <w:r w:rsidR="00175C89">
        <w:t>u</w:t>
      </w:r>
      <w:r w:rsidR="000C5DFC" w:rsidRPr="000C5DFC">
        <w:t>sp</w:t>
      </w:r>
      <w:r w:rsidR="00175C89">
        <w:t>o</w:t>
      </w:r>
      <w:r w:rsidR="000C5DFC" w:rsidRPr="000C5DFC">
        <w:t>radúva odborné</w:t>
      </w:r>
      <w:r w:rsidR="00175C89">
        <w:t xml:space="preserve"> semináre, prezentáciu techník a vykonáva </w:t>
      </w:r>
      <w:r w:rsidR="000C5DFC" w:rsidRPr="000C5DFC">
        <w:t xml:space="preserve">flexibilnú komunikáciu </w:t>
      </w:r>
      <w:r w:rsidR="00175C89">
        <w:t xml:space="preserve">ako </w:t>
      </w:r>
      <w:r w:rsidR="000C5DFC" w:rsidRPr="000C5DFC">
        <w:t>aj osvetu detí a</w:t>
      </w:r>
      <w:r w:rsidR="00175C89">
        <w:t> </w:t>
      </w:r>
      <w:r w:rsidR="000C5DFC" w:rsidRPr="000C5DFC">
        <w:t>mládeže</w:t>
      </w:r>
      <w:r w:rsidR="00175C89">
        <w:t xml:space="preserve"> (</w:t>
      </w:r>
      <w:r w:rsidR="000C5DFC" w:rsidRPr="000C5DFC">
        <w:t xml:space="preserve"> </w:t>
      </w:r>
      <w:r w:rsidR="00E6741D">
        <w:t>,</w:t>
      </w:r>
      <w:r w:rsidRPr="00267E0C">
        <w:t xml:space="preserve"> napr. pri príležitosti </w:t>
      </w:r>
      <w:r w:rsidR="000C5DFC" w:rsidRPr="000C5DFC">
        <w:t xml:space="preserve">Medzinárodného </w:t>
      </w:r>
      <w:r w:rsidR="000C5DFC">
        <w:t>d</w:t>
      </w:r>
      <w:r w:rsidRPr="00267E0C">
        <w:t xml:space="preserve">ňa detí </w:t>
      </w:r>
      <w:r w:rsidR="00175C89">
        <w:t>u</w:t>
      </w:r>
      <w:r w:rsidRPr="00267E0C">
        <w:t xml:space="preserve">skutočňuje návštevy materských a základných škôl, </w:t>
      </w:r>
      <w:r w:rsidR="000C5DFC">
        <w:t xml:space="preserve">atď. ). </w:t>
      </w:r>
      <w:r w:rsidR="000C5DFC" w:rsidRPr="000C5DFC">
        <w:t xml:space="preserve">Taktiež bolo zriadené  </w:t>
      </w:r>
      <w:r w:rsidRPr="00267E0C">
        <w:t xml:space="preserve">Múzeum colníctva v Bratislave, kde sa </w:t>
      </w:r>
      <w:r w:rsidR="000C5DFC" w:rsidRPr="00267E0C">
        <w:t xml:space="preserve">môžu </w:t>
      </w:r>
      <w:r w:rsidRPr="00267E0C">
        <w:t>občania oboznámiť s prácou</w:t>
      </w:r>
      <w:r w:rsidR="004F3046" w:rsidRPr="004F3046">
        <w:t xml:space="preserve"> colníkov a históriou colníctva</w:t>
      </w:r>
      <w:r w:rsidR="004F3046">
        <w:t>.</w:t>
      </w:r>
    </w:p>
    <w:p w:rsidR="00001CEB" w:rsidRDefault="00001CEB" w:rsidP="00001CEB">
      <w:pPr>
        <w:jc w:val="both"/>
        <w:rPr>
          <w:bCs/>
        </w:rPr>
      </w:pPr>
      <w:r w:rsidRPr="006A5402">
        <w:rPr>
          <w:bCs/>
        </w:rPr>
        <w:t>F</w:t>
      </w:r>
      <w:r w:rsidR="00A7215C">
        <w:rPr>
          <w:bCs/>
        </w:rPr>
        <w:t>S SR</w:t>
      </w:r>
      <w:r w:rsidR="009C1946">
        <w:rPr>
          <w:bCs/>
        </w:rPr>
        <w:t xml:space="preserve"> </w:t>
      </w:r>
      <w:r w:rsidRPr="006A5402">
        <w:rPr>
          <w:bCs/>
        </w:rPr>
        <w:t>participuje aj na viacerých programoch</w:t>
      </w:r>
      <w:r w:rsidR="00E6741D">
        <w:rPr>
          <w:bCs/>
        </w:rPr>
        <w:t>,</w:t>
      </w:r>
      <w:r w:rsidRPr="006A5402">
        <w:rPr>
          <w:bCs/>
        </w:rPr>
        <w:t xml:space="preserve"> ako napr. </w:t>
      </w:r>
      <w:proofErr w:type="spellStart"/>
      <w:r w:rsidRPr="006A5402">
        <w:rPr>
          <w:bCs/>
        </w:rPr>
        <w:t>Hercule</w:t>
      </w:r>
      <w:proofErr w:type="spellEnd"/>
      <w:r w:rsidRPr="006A5402">
        <w:rPr>
          <w:bCs/>
        </w:rPr>
        <w:t xml:space="preserve"> II</w:t>
      </w:r>
      <w:r w:rsidRPr="006A5402">
        <w:rPr>
          <w:bCs/>
          <w:vertAlign w:val="superscript"/>
        </w:rPr>
        <w:footnoteReference w:id="5"/>
      </w:r>
      <w:r w:rsidRPr="006A5402">
        <w:rPr>
          <w:bCs/>
        </w:rPr>
        <w:t xml:space="preserve">. Jednotliví </w:t>
      </w:r>
      <w:r w:rsidR="00681725">
        <w:rPr>
          <w:bCs/>
        </w:rPr>
        <w:t xml:space="preserve">pracovníci </w:t>
      </w:r>
      <w:r w:rsidR="00A7215C">
        <w:rPr>
          <w:bCs/>
        </w:rPr>
        <w:t>FS SR</w:t>
      </w:r>
      <w:r w:rsidR="009C1946">
        <w:rPr>
          <w:bCs/>
        </w:rPr>
        <w:t xml:space="preserve"> </w:t>
      </w:r>
      <w:r w:rsidRPr="006A5402">
        <w:rPr>
          <w:bCs/>
        </w:rPr>
        <w:t xml:space="preserve">sa zúčastňujú na rôznych školiacich aktivitách, </w:t>
      </w:r>
      <w:proofErr w:type="spellStart"/>
      <w:r w:rsidRPr="006A5402">
        <w:rPr>
          <w:bCs/>
        </w:rPr>
        <w:t>workshopoch</w:t>
      </w:r>
      <w:proofErr w:type="spellEnd"/>
      <w:r w:rsidRPr="006A5402">
        <w:rPr>
          <w:bCs/>
        </w:rPr>
        <w:t xml:space="preserve"> a konferenciách zameraných na predchádzanie a boj proti korupcii a pašovaniu tovaru.</w:t>
      </w:r>
      <w:r w:rsidR="00E25A64">
        <w:rPr>
          <w:bCs/>
        </w:rPr>
        <w:t xml:space="preserve"> </w:t>
      </w:r>
    </w:p>
    <w:p w:rsidR="00001CEB" w:rsidRDefault="00A7215C" w:rsidP="00001CEB">
      <w:pPr>
        <w:jc w:val="both"/>
        <w:rPr>
          <w:bCs/>
        </w:rPr>
      </w:pPr>
      <w:r>
        <w:rPr>
          <w:bCs/>
        </w:rPr>
        <w:lastRenderedPageBreak/>
        <w:t xml:space="preserve">V roku 2012 </w:t>
      </w:r>
      <w:r w:rsidRPr="006A5402">
        <w:rPr>
          <w:bCs/>
        </w:rPr>
        <w:t xml:space="preserve">získala </w:t>
      </w:r>
      <w:r>
        <w:rPr>
          <w:bCs/>
        </w:rPr>
        <w:t>FS SR z</w:t>
      </w:r>
      <w:r w:rsidR="00001CEB" w:rsidRPr="006A5402">
        <w:rPr>
          <w:bCs/>
        </w:rPr>
        <w:t xml:space="preserve"> programu </w:t>
      </w:r>
      <w:proofErr w:type="spellStart"/>
      <w:r w:rsidR="00001CEB" w:rsidRPr="006A5402">
        <w:rPr>
          <w:bCs/>
        </w:rPr>
        <w:t>Hercule</w:t>
      </w:r>
      <w:proofErr w:type="spellEnd"/>
      <w:r w:rsidR="00001CEB" w:rsidRPr="006A5402">
        <w:rPr>
          <w:bCs/>
        </w:rPr>
        <w:t xml:space="preserve"> II prostriedky na obstaranie 15 špeciálne vybavených vozidiel. V januári a februári 2012 boli postupne odovzdané do používania colným úradom </w:t>
      </w:r>
      <w:r w:rsidR="00146753">
        <w:rPr>
          <w:bCs/>
        </w:rPr>
        <w:t>FS SR</w:t>
      </w:r>
      <w:r w:rsidR="00001CEB" w:rsidRPr="006A5402">
        <w:rPr>
          <w:bCs/>
        </w:rPr>
        <w:t xml:space="preserve">, pričom ide o motorové vozidlá, určené na vykonávanie úloh spojených s colným dohľadom. Patria k nim mobilné pracoviská colného úradu, špeciálne motorové vozidlá určené na prepravu psov zabezpečujúce ich komfort </w:t>
      </w:r>
      <w:r w:rsidR="00146753">
        <w:rPr>
          <w:bCs/>
        </w:rPr>
        <w:t>(</w:t>
      </w:r>
      <w:r w:rsidR="00001CEB" w:rsidRPr="006A5402">
        <w:rPr>
          <w:bCs/>
        </w:rPr>
        <w:t>vozidlá pre psovodov</w:t>
      </w:r>
      <w:r w:rsidR="00146753">
        <w:rPr>
          <w:bCs/>
        </w:rPr>
        <w:t>)</w:t>
      </w:r>
      <w:r w:rsidR="00001CEB" w:rsidRPr="006A5402">
        <w:rPr>
          <w:bCs/>
        </w:rPr>
        <w:t xml:space="preserve"> a tiež motorové vozidl</w:t>
      </w:r>
      <w:r w:rsidR="00146753">
        <w:rPr>
          <w:bCs/>
        </w:rPr>
        <w:t>á</w:t>
      </w:r>
      <w:r w:rsidR="00001CEB" w:rsidRPr="006A5402">
        <w:rPr>
          <w:bCs/>
        </w:rPr>
        <w:t xml:space="preserve"> určené na vykonávanie špeciálnych úloh</w:t>
      </w:r>
      <w:r w:rsidR="00146753">
        <w:rPr>
          <w:bCs/>
        </w:rPr>
        <w:t xml:space="preserve"> (</w:t>
      </w:r>
      <w:r w:rsidR="00001CEB" w:rsidRPr="006A5402">
        <w:rPr>
          <w:bCs/>
        </w:rPr>
        <w:t>výjazdové vozidlá pre vyšetrovateľov</w:t>
      </w:r>
      <w:r w:rsidR="00146753">
        <w:rPr>
          <w:bCs/>
        </w:rPr>
        <w:t>)</w:t>
      </w:r>
      <w:r w:rsidR="00001CEB" w:rsidRPr="006A5402">
        <w:rPr>
          <w:bCs/>
        </w:rPr>
        <w:t>.</w:t>
      </w:r>
    </w:p>
    <w:p w:rsidR="00BE57A6" w:rsidRPr="00CC0A77" w:rsidRDefault="006D46DA" w:rsidP="00BE57A6">
      <w:pPr>
        <w:jc w:val="both"/>
        <w:rPr>
          <w:bCs/>
        </w:rPr>
      </w:pPr>
      <w:r w:rsidRPr="006D46DA">
        <w:rPr>
          <w:bCs/>
        </w:rPr>
        <w:t>V roku 2012 bol</w:t>
      </w:r>
      <w:r>
        <w:rPr>
          <w:bCs/>
        </w:rPr>
        <w:t>i</w:t>
      </w:r>
      <w:r w:rsidRPr="00CC0A77">
        <w:rPr>
          <w:bCs/>
        </w:rPr>
        <w:t xml:space="preserve"> </w:t>
      </w:r>
      <w:r w:rsidR="00D01756">
        <w:rPr>
          <w:bCs/>
        </w:rPr>
        <w:t>Ú</w:t>
      </w:r>
      <w:r w:rsidRPr="00CC0A77">
        <w:rPr>
          <w:bCs/>
        </w:rPr>
        <w:t xml:space="preserve">radom boja proti korupcii Prezídia Policajného zboru, resp. </w:t>
      </w:r>
      <w:r w:rsidR="00146753">
        <w:rPr>
          <w:bCs/>
        </w:rPr>
        <w:t>NAKA P</w:t>
      </w:r>
      <w:r w:rsidR="00E25A64">
        <w:rPr>
          <w:bCs/>
        </w:rPr>
        <w:t xml:space="preserve"> </w:t>
      </w:r>
      <w:r w:rsidR="00146753">
        <w:rPr>
          <w:bCs/>
        </w:rPr>
        <w:t>PZ</w:t>
      </w:r>
      <w:r w:rsidR="00E6741D">
        <w:rPr>
          <w:bCs/>
        </w:rPr>
        <w:t>,</w:t>
      </w:r>
      <w:r w:rsidR="00146753">
        <w:rPr>
          <w:bCs/>
        </w:rPr>
        <w:t xml:space="preserve"> </w:t>
      </w:r>
      <w:r>
        <w:rPr>
          <w:bCs/>
        </w:rPr>
        <w:t>v</w:t>
      </w:r>
      <w:r w:rsidR="00A7215C" w:rsidRPr="00CC0A77">
        <w:rPr>
          <w:bCs/>
        </w:rPr>
        <w:t> súvislosti s poškodzovaním finančných záujmov EÚ v</w:t>
      </w:r>
      <w:r w:rsidR="00E6741D">
        <w:rPr>
          <w:bCs/>
        </w:rPr>
        <w:t> </w:t>
      </w:r>
      <w:r w:rsidR="00A7215C" w:rsidRPr="00CC0A77">
        <w:rPr>
          <w:bCs/>
        </w:rPr>
        <w:t>SR</w:t>
      </w:r>
      <w:r w:rsidR="00E6741D">
        <w:rPr>
          <w:bCs/>
        </w:rPr>
        <w:t>,</w:t>
      </w:r>
      <w:r w:rsidR="00A7215C" w:rsidRPr="00CC0A77">
        <w:rPr>
          <w:bCs/>
        </w:rPr>
        <w:t xml:space="preserve"> </w:t>
      </w:r>
      <w:r w:rsidR="00D01756">
        <w:rPr>
          <w:bCs/>
        </w:rPr>
        <w:t>riešené aj nasledujúce</w:t>
      </w:r>
      <w:r w:rsidR="00BE57A6" w:rsidRPr="00CC0A77">
        <w:rPr>
          <w:bCs/>
        </w:rPr>
        <w:t xml:space="preserve"> prípady</w:t>
      </w:r>
      <w:r>
        <w:rPr>
          <w:bCs/>
        </w:rPr>
        <w:t xml:space="preserve">: </w:t>
      </w:r>
    </w:p>
    <w:p w:rsidR="00BE57A6" w:rsidRDefault="00BE57A6" w:rsidP="00D01756">
      <w:pPr>
        <w:pStyle w:val="Odsekzoznamu"/>
        <w:numPr>
          <w:ilvl w:val="0"/>
          <w:numId w:val="19"/>
        </w:numPr>
        <w:ind w:left="0"/>
        <w:jc w:val="both"/>
        <w:rPr>
          <w:bCs/>
        </w:rPr>
      </w:pPr>
      <w:r w:rsidRPr="00AB4A7D">
        <w:rPr>
          <w:bCs/>
        </w:rPr>
        <w:t xml:space="preserve">Vyšetrovateľ vzniesol obvinenie </w:t>
      </w:r>
      <w:r w:rsidR="00AB4A7D" w:rsidRPr="00AB4A7D">
        <w:rPr>
          <w:bCs/>
        </w:rPr>
        <w:t xml:space="preserve">voči </w:t>
      </w:r>
      <w:r w:rsidRPr="00AB4A7D">
        <w:rPr>
          <w:bCs/>
        </w:rPr>
        <w:t xml:space="preserve">konateľovi dvoch obchodných spoločností za zločin poškodzovania finančných záujmov Európskych spoločenstiev podľa </w:t>
      </w:r>
      <w:r w:rsidRPr="00801C6D">
        <w:rPr>
          <w:bCs/>
        </w:rPr>
        <w:t>§ 261</w:t>
      </w:r>
      <w:r w:rsidR="00E25A64" w:rsidRPr="00A62089">
        <w:rPr>
          <w:bCs/>
        </w:rPr>
        <w:t xml:space="preserve"> ods. 1</w:t>
      </w:r>
      <w:r w:rsidRPr="00A62089">
        <w:rPr>
          <w:bCs/>
        </w:rPr>
        <w:t>,</w:t>
      </w:r>
      <w:r w:rsidR="00E25A64" w:rsidRPr="00A62089">
        <w:rPr>
          <w:bCs/>
        </w:rPr>
        <w:t xml:space="preserve"> </w:t>
      </w:r>
      <w:r w:rsidRPr="000F30F0">
        <w:rPr>
          <w:bCs/>
        </w:rPr>
        <w:t>4</w:t>
      </w:r>
      <w:r w:rsidR="00E25A64" w:rsidRPr="000F30F0">
        <w:rPr>
          <w:bCs/>
        </w:rPr>
        <w:t xml:space="preserve"> </w:t>
      </w:r>
      <w:r w:rsidRPr="000F30F0">
        <w:rPr>
          <w:bCs/>
        </w:rPr>
        <w:t>a</w:t>
      </w:r>
      <w:r w:rsidRPr="00AB4A7D">
        <w:rPr>
          <w:bCs/>
        </w:rPr>
        <w:t xml:space="preserve"> Trestného zákona v jednočinnom súbehu s obzvlášť závažným zločinom subvenčného podvodu podľa § 225</w:t>
      </w:r>
      <w:r w:rsidR="00E25A64">
        <w:rPr>
          <w:bCs/>
        </w:rPr>
        <w:t xml:space="preserve"> ods. </w:t>
      </w:r>
      <w:r w:rsidRPr="00AB4A7D">
        <w:rPr>
          <w:bCs/>
        </w:rPr>
        <w:t>1,</w:t>
      </w:r>
      <w:r w:rsidR="00B439A4">
        <w:rPr>
          <w:bCs/>
        </w:rPr>
        <w:t xml:space="preserve"> </w:t>
      </w:r>
      <w:r w:rsidRPr="00AB4A7D">
        <w:rPr>
          <w:bCs/>
        </w:rPr>
        <w:t>6a Trestného zákona, pretože v</w:t>
      </w:r>
      <w:r w:rsidRPr="00136DA6">
        <w:rPr>
          <w:bCs/>
        </w:rPr>
        <w:t xml:space="preserve"> dvoch prípadoch ako konateľ dvoch obchodných spoločností podal na regionálnom pracovisku </w:t>
      </w:r>
      <w:r w:rsidR="00AB4A7D" w:rsidRPr="00136DA6">
        <w:rPr>
          <w:bCs/>
        </w:rPr>
        <w:t xml:space="preserve">PPA </w:t>
      </w:r>
      <w:r w:rsidRPr="00136DA6">
        <w:rPr>
          <w:bCs/>
        </w:rPr>
        <w:t xml:space="preserve">v rámci Programu rozvoja vidieka SR 2007-2013 žiadosti o poskytnutie NFP na realizáciu </w:t>
      </w:r>
      <w:r w:rsidR="00AB4A7D" w:rsidRPr="00136DA6">
        <w:rPr>
          <w:bCs/>
        </w:rPr>
        <w:t xml:space="preserve">2 </w:t>
      </w:r>
      <w:r w:rsidRPr="00136DA6">
        <w:rPr>
          <w:bCs/>
        </w:rPr>
        <w:t>projektov</w:t>
      </w:r>
      <w:r w:rsidR="00AB4A7D" w:rsidRPr="00136DA6">
        <w:rPr>
          <w:bCs/>
        </w:rPr>
        <w:t xml:space="preserve"> </w:t>
      </w:r>
      <w:r w:rsidRPr="00136DA6">
        <w:rPr>
          <w:bCs/>
        </w:rPr>
        <w:t>a následne podpísal zmluvy s</w:t>
      </w:r>
      <w:r w:rsidR="00AB4A7D" w:rsidRPr="00136DA6">
        <w:rPr>
          <w:bCs/>
        </w:rPr>
        <w:t> príslušným riadiacim orgánom,</w:t>
      </w:r>
      <w:r w:rsidRPr="00136DA6">
        <w:rPr>
          <w:bCs/>
        </w:rPr>
        <w:t xml:space="preserve"> pričom v žiadostiach o platbu úmyselne uviedol nesprávne údaje týkajúce sa</w:t>
      </w:r>
      <w:r w:rsidR="00AB4A7D" w:rsidRPr="00136DA6">
        <w:rPr>
          <w:bCs/>
        </w:rPr>
        <w:t xml:space="preserve"> súvisiacich </w:t>
      </w:r>
      <w:r w:rsidRPr="00136DA6">
        <w:rPr>
          <w:bCs/>
        </w:rPr>
        <w:t xml:space="preserve">nákladov, ktoré boli oproti reálnej možnosti jej nákupu navýšené, čo zabezpečil ekonomicky neopodstatneným nákupom tejto technológie v rámci reťazca ďalších firiem, pričom už pred uzatvorením týchto ďalších zmluvných vzťahov a pred podaním žiadosti o poskytnutie NFP mal vedomosť o možnosti nákupu tejto technológie od prvotného dodávateľa. Týmto konaním spôsobil škodu </w:t>
      </w:r>
      <w:r w:rsidR="00AB4A7D" w:rsidRPr="00136DA6">
        <w:rPr>
          <w:bCs/>
        </w:rPr>
        <w:t xml:space="preserve">príslušnému riadiacemu orgánu </w:t>
      </w:r>
      <w:r w:rsidRPr="00136DA6">
        <w:rPr>
          <w:bCs/>
        </w:rPr>
        <w:t>na prostriedkoch Európskych spoločenstiev vo výške 749 448,93 E</w:t>
      </w:r>
      <w:r w:rsidR="00AA73BE">
        <w:rPr>
          <w:bCs/>
        </w:rPr>
        <w:t>UR</w:t>
      </w:r>
      <w:r w:rsidRPr="00136DA6">
        <w:rPr>
          <w:bCs/>
        </w:rPr>
        <w:t xml:space="preserve"> a na prostriedkoch štátneho rozpočtu SR vo výške 249 816,32 E</w:t>
      </w:r>
      <w:r w:rsidR="00AA73BE">
        <w:rPr>
          <w:bCs/>
        </w:rPr>
        <w:t>UR</w:t>
      </w:r>
      <w:r w:rsidRPr="00136DA6">
        <w:rPr>
          <w:bCs/>
        </w:rPr>
        <w:t>.</w:t>
      </w:r>
    </w:p>
    <w:p w:rsidR="0097198E" w:rsidRPr="00136DA6" w:rsidRDefault="0097198E" w:rsidP="0097198E">
      <w:pPr>
        <w:pStyle w:val="Odsekzoznamu"/>
        <w:ind w:left="0"/>
        <w:jc w:val="both"/>
        <w:rPr>
          <w:bCs/>
        </w:rPr>
      </w:pPr>
    </w:p>
    <w:p w:rsidR="00BE57A6" w:rsidRDefault="00BE57A6" w:rsidP="00D01756">
      <w:pPr>
        <w:pStyle w:val="Odsekzoznamu"/>
        <w:numPr>
          <w:ilvl w:val="0"/>
          <w:numId w:val="19"/>
        </w:numPr>
        <w:ind w:left="0"/>
        <w:jc w:val="both"/>
        <w:rPr>
          <w:bCs/>
        </w:rPr>
      </w:pPr>
      <w:r w:rsidRPr="00AB4A7D">
        <w:rPr>
          <w:bCs/>
        </w:rPr>
        <w:t xml:space="preserve">Vyšetrovateľ vzniesol obvinenie </w:t>
      </w:r>
      <w:r w:rsidR="006D46DA">
        <w:rPr>
          <w:bCs/>
        </w:rPr>
        <w:t xml:space="preserve">voči </w:t>
      </w:r>
      <w:r w:rsidRPr="00AB4A7D">
        <w:rPr>
          <w:bCs/>
        </w:rPr>
        <w:t xml:space="preserve">občanovi za prečin poškodzovania finančných záujmov Európskych spoločenstiev </w:t>
      </w:r>
      <w:r w:rsidR="000C5DFC">
        <w:rPr>
          <w:bCs/>
        </w:rPr>
        <w:t xml:space="preserve">podľa </w:t>
      </w:r>
      <w:r w:rsidRPr="00AB4A7D">
        <w:rPr>
          <w:bCs/>
        </w:rPr>
        <w:t>§ 261</w:t>
      </w:r>
      <w:r w:rsidR="00947A86">
        <w:rPr>
          <w:bCs/>
        </w:rPr>
        <w:t xml:space="preserve"> ods. 1</w:t>
      </w:r>
      <w:r w:rsidRPr="00AB4A7D">
        <w:rPr>
          <w:bCs/>
        </w:rPr>
        <w:t>, 2a Trestného zákona a za prečin subvenčného podvodu podľa</w:t>
      </w:r>
      <w:r w:rsidR="00E6741D">
        <w:rPr>
          <w:bCs/>
        </w:rPr>
        <w:br/>
      </w:r>
      <w:r w:rsidRPr="00AB4A7D">
        <w:rPr>
          <w:bCs/>
        </w:rPr>
        <w:t xml:space="preserve"> § 225</w:t>
      </w:r>
      <w:r w:rsidR="00947A86">
        <w:rPr>
          <w:bCs/>
        </w:rPr>
        <w:t xml:space="preserve"> ods. </w:t>
      </w:r>
      <w:r w:rsidRPr="00AB4A7D">
        <w:rPr>
          <w:bCs/>
        </w:rPr>
        <w:t>1 Trestné</w:t>
      </w:r>
      <w:r w:rsidRPr="00136DA6">
        <w:rPr>
          <w:bCs/>
        </w:rPr>
        <w:t xml:space="preserve">ho zákona, ktorý ako samostatne zárobkovo činná osoba pod zámienkou splnenia podmienok vyplývajúcich ním podpísanej Dohody o poskytnutí príspevku na samostatnú zárobkovú činnosť vylákal od </w:t>
      </w:r>
      <w:r w:rsidR="00AB4A7D">
        <w:rPr>
          <w:bCs/>
        </w:rPr>
        <w:t xml:space="preserve">vecne a miestne príslušného </w:t>
      </w:r>
      <w:r w:rsidRPr="00AB4A7D">
        <w:rPr>
          <w:bCs/>
        </w:rPr>
        <w:t>poskytovateľa finančné prostriedky vo výške 3 775,24 EUR. Tieto finančné prostriedky nepoužil v súlade s podmienkami dohody, čím spôsobil škodu rozpočtu Európskych spoločenstiev vo výške 3 208,95 E</w:t>
      </w:r>
      <w:r w:rsidR="00AA73BE">
        <w:rPr>
          <w:bCs/>
        </w:rPr>
        <w:t>UR</w:t>
      </w:r>
      <w:r w:rsidRPr="00AB4A7D">
        <w:rPr>
          <w:bCs/>
        </w:rPr>
        <w:t xml:space="preserve"> a</w:t>
      </w:r>
      <w:r w:rsidR="00AB4A7D">
        <w:rPr>
          <w:bCs/>
        </w:rPr>
        <w:t xml:space="preserve"> tomuto poskytovateľovi </w:t>
      </w:r>
      <w:r w:rsidRPr="00AB4A7D">
        <w:rPr>
          <w:bCs/>
        </w:rPr>
        <w:t>vo výške 566,29 E</w:t>
      </w:r>
      <w:r w:rsidR="00AA73BE">
        <w:rPr>
          <w:bCs/>
        </w:rPr>
        <w:t>UR</w:t>
      </w:r>
      <w:r w:rsidRPr="00AB4A7D">
        <w:rPr>
          <w:bCs/>
        </w:rPr>
        <w:t xml:space="preserve">. </w:t>
      </w:r>
    </w:p>
    <w:p w:rsidR="0097198E" w:rsidRPr="0097198E" w:rsidRDefault="0097198E" w:rsidP="0097198E">
      <w:pPr>
        <w:pStyle w:val="Odsekzoznamu"/>
        <w:rPr>
          <w:bCs/>
        </w:rPr>
      </w:pPr>
    </w:p>
    <w:p w:rsidR="0097198E" w:rsidRDefault="0097198E" w:rsidP="0097198E">
      <w:pPr>
        <w:pStyle w:val="Odsekzoznamu"/>
        <w:ind w:left="0"/>
        <w:jc w:val="both"/>
        <w:rPr>
          <w:bCs/>
        </w:rPr>
      </w:pPr>
    </w:p>
    <w:p w:rsidR="00BE57A6" w:rsidRDefault="00BE57A6" w:rsidP="00D01756">
      <w:pPr>
        <w:pStyle w:val="Odsekzoznamu"/>
        <w:numPr>
          <w:ilvl w:val="0"/>
          <w:numId w:val="19"/>
        </w:numPr>
        <w:ind w:left="0"/>
        <w:jc w:val="both"/>
        <w:rPr>
          <w:bCs/>
        </w:rPr>
      </w:pPr>
      <w:r w:rsidRPr="00AB4A7D">
        <w:rPr>
          <w:bCs/>
        </w:rPr>
        <w:t xml:space="preserve">Vyšetrovateľ vzniesol obvinenie </w:t>
      </w:r>
      <w:r w:rsidR="006D46DA">
        <w:rPr>
          <w:bCs/>
        </w:rPr>
        <w:t xml:space="preserve">voči </w:t>
      </w:r>
      <w:r w:rsidRPr="00AB4A7D">
        <w:rPr>
          <w:bCs/>
        </w:rPr>
        <w:t xml:space="preserve">3 osobám za prečin poškodzovania finančných záujmov </w:t>
      </w:r>
      <w:r w:rsidRPr="005C2029">
        <w:rPr>
          <w:bCs/>
        </w:rPr>
        <w:t>Európskych spoločenstiev § 261</w:t>
      </w:r>
      <w:r w:rsidR="00947A86">
        <w:rPr>
          <w:bCs/>
        </w:rPr>
        <w:t xml:space="preserve"> ods. </w:t>
      </w:r>
      <w:r w:rsidRPr="005C2029">
        <w:rPr>
          <w:bCs/>
        </w:rPr>
        <w:t>1, 4a Trestného zákona a za prečin subvenčného podvodu</w:t>
      </w:r>
      <w:r w:rsidRPr="00AB4A7D">
        <w:rPr>
          <w:bCs/>
        </w:rPr>
        <w:t xml:space="preserve"> podľa </w:t>
      </w:r>
      <w:r w:rsidR="00D40333">
        <w:rPr>
          <w:bCs/>
        </w:rPr>
        <w:br/>
      </w:r>
      <w:r w:rsidRPr="00AB4A7D">
        <w:rPr>
          <w:bCs/>
        </w:rPr>
        <w:t>§ 225</w:t>
      </w:r>
      <w:r w:rsidR="00947A86">
        <w:rPr>
          <w:bCs/>
        </w:rPr>
        <w:t xml:space="preserve"> ods. </w:t>
      </w:r>
      <w:r w:rsidRPr="00AB4A7D">
        <w:rPr>
          <w:bCs/>
        </w:rPr>
        <w:t>1, 6a Trestného zákona. Obvinená osoba na základe splnomocnenia</w:t>
      </w:r>
      <w:r w:rsidRPr="00136DA6">
        <w:rPr>
          <w:bCs/>
        </w:rPr>
        <w:t xml:space="preserve"> spoločnosťou </w:t>
      </w:r>
      <w:r w:rsidR="00AB4A7D">
        <w:rPr>
          <w:bCs/>
        </w:rPr>
        <w:t>X</w:t>
      </w:r>
      <w:r w:rsidR="00D3267C">
        <w:rPr>
          <w:bCs/>
        </w:rPr>
        <w:t>Y</w:t>
      </w:r>
      <w:r w:rsidR="00AB4A7D">
        <w:rPr>
          <w:bCs/>
        </w:rPr>
        <w:t xml:space="preserve"> n</w:t>
      </w:r>
      <w:r w:rsidRPr="00AB4A7D">
        <w:rPr>
          <w:bCs/>
        </w:rPr>
        <w:t xml:space="preserve">apriek tomu, že konatelia spoločnosti </w:t>
      </w:r>
      <w:r w:rsidR="00AB4A7D">
        <w:rPr>
          <w:bCs/>
        </w:rPr>
        <w:t xml:space="preserve">XY </w:t>
      </w:r>
      <w:r w:rsidRPr="00AB4A7D">
        <w:rPr>
          <w:bCs/>
        </w:rPr>
        <w:t xml:space="preserve">vedeli, že záväzný úverový prísľub od </w:t>
      </w:r>
      <w:r w:rsidR="00AB4A7D">
        <w:rPr>
          <w:bCs/>
        </w:rPr>
        <w:t>nemenovanej bankovej spoločnosti</w:t>
      </w:r>
      <w:r w:rsidRPr="00AB4A7D">
        <w:rPr>
          <w:bCs/>
        </w:rPr>
        <w:t xml:space="preserve">, ktorý zadovážila obvinená osoba a s ktorým ako spoločnosť </w:t>
      </w:r>
      <w:r w:rsidR="00AB4A7D">
        <w:rPr>
          <w:bCs/>
        </w:rPr>
        <w:t xml:space="preserve">XY </w:t>
      </w:r>
      <w:r w:rsidRPr="00AB4A7D">
        <w:rPr>
          <w:bCs/>
        </w:rPr>
        <w:t xml:space="preserve">v postavení žiadateľa disponujú, je sfalšovaný, tento so súhlasom a s vedomím dvoch konateľov uvedenej </w:t>
      </w:r>
      <w:r w:rsidRPr="00AB4A7D">
        <w:rPr>
          <w:bCs/>
        </w:rPr>
        <w:lastRenderedPageBreak/>
        <w:t>spoločnosti, predložil</w:t>
      </w:r>
      <w:r w:rsidR="005C2029">
        <w:rPr>
          <w:bCs/>
        </w:rPr>
        <w:t>a</w:t>
      </w:r>
      <w:r w:rsidRPr="00AB4A7D">
        <w:rPr>
          <w:bCs/>
        </w:rPr>
        <w:t xml:space="preserve"> v prílohe žiadosti </w:t>
      </w:r>
      <w:r w:rsidRPr="005C2029">
        <w:rPr>
          <w:bCs/>
        </w:rPr>
        <w:t>ako pravý a hodnoverný doklad o disponovaní s finančnými prostriedkami na poskytnutie úveru vo výške 3 025 290,20 EUR, čím takto deklarovali splnenie podmienok na poskytnutie príspevku pre uvedenú spoločnosť</w:t>
      </w:r>
      <w:r w:rsidR="00AA73BE" w:rsidRPr="005C2029">
        <w:rPr>
          <w:bCs/>
        </w:rPr>
        <w:t xml:space="preserve">. K </w:t>
      </w:r>
      <w:r w:rsidRPr="005C2029">
        <w:rPr>
          <w:bCs/>
        </w:rPr>
        <w:t>poskytnut</w:t>
      </w:r>
      <w:r w:rsidR="00AA73BE" w:rsidRPr="005C2029">
        <w:rPr>
          <w:bCs/>
        </w:rPr>
        <w:t>iu</w:t>
      </w:r>
      <w:r w:rsidRPr="005C2029">
        <w:rPr>
          <w:bCs/>
        </w:rPr>
        <w:t xml:space="preserve"> príspevku nedošlo</w:t>
      </w:r>
      <w:r w:rsidR="00AA73BE" w:rsidRPr="005C2029">
        <w:rPr>
          <w:bCs/>
        </w:rPr>
        <w:t xml:space="preserve">. Uvedeným konaním sa takto </w:t>
      </w:r>
      <w:r w:rsidRPr="005C2029">
        <w:rPr>
          <w:bCs/>
        </w:rPr>
        <w:t xml:space="preserve">pokúsili získať finančné prostriedky z Európskeho fondu regionálneho rozvoja vo výške 85% z požadovanej sumy, čo je 1 234 642 EUR a zo </w:t>
      </w:r>
      <w:r w:rsidR="00AA73BE" w:rsidRPr="005C2029">
        <w:rPr>
          <w:bCs/>
        </w:rPr>
        <w:t>š</w:t>
      </w:r>
      <w:r w:rsidRPr="005C2029">
        <w:rPr>
          <w:bCs/>
        </w:rPr>
        <w:t>tátneho rozpočtu SR vo výške 15% z požadovanej sumy, čo je 217 878 E</w:t>
      </w:r>
      <w:r w:rsidR="00AA73BE" w:rsidRPr="005C2029">
        <w:rPr>
          <w:bCs/>
        </w:rPr>
        <w:t>UR</w:t>
      </w:r>
      <w:r w:rsidRPr="005C2029">
        <w:rPr>
          <w:bCs/>
        </w:rPr>
        <w:t xml:space="preserve">. </w:t>
      </w:r>
    </w:p>
    <w:p w:rsidR="0097198E" w:rsidRPr="005C2029" w:rsidRDefault="0097198E" w:rsidP="0097198E">
      <w:pPr>
        <w:pStyle w:val="Odsekzoznamu"/>
        <w:ind w:left="0"/>
        <w:jc w:val="both"/>
        <w:rPr>
          <w:bCs/>
        </w:rPr>
      </w:pPr>
    </w:p>
    <w:p w:rsidR="00BE57A6" w:rsidRDefault="00BE57A6" w:rsidP="00D01756">
      <w:pPr>
        <w:pStyle w:val="Odsekzoznamu"/>
        <w:numPr>
          <w:ilvl w:val="0"/>
          <w:numId w:val="19"/>
        </w:numPr>
        <w:ind w:left="0"/>
        <w:jc w:val="both"/>
        <w:rPr>
          <w:bCs/>
        </w:rPr>
      </w:pPr>
      <w:r w:rsidRPr="009E4903">
        <w:rPr>
          <w:bCs/>
        </w:rPr>
        <w:t xml:space="preserve">Vyšetrovateľ vzniesol obvinenie </w:t>
      </w:r>
      <w:r w:rsidR="006D46DA">
        <w:rPr>
          <w:bCs/>
        </w:rPr>
        <w:t xml:space="preserve">voči </w:t>
      </w:r>
      <w:r w:rsidRPr="009E4903">
        <w:rPr>
          <w:bCs/>
        </w:rPr>
        <w:t xml:space="preserve">3 osobám za prečin poškodzovania finančných záujmov Európskych spoločenstiev </w:t>
      </w:r>
      <w:r w:rsidR="000C5DFC">
        <w:rPr>
          <w:bCs/>
        </w:rPr>
        <w:t xml:space="preserve">podľa </w:t>
      </w:r>
      <w:r w:rsidRPr="009E4903">
        <w:rPr>
          <w:bCs/>
        </w:rPr>
        <w:t>§ 261</w:t>
      </w:r>
      <w:r w:rsidR="00947A86">
        <w:rPr>
          <w:bCs/>
        </w:rPr>
        <w:t xml:space="preserve"> ods. </w:t>
      </w:r>
      <w:r w:rsidRPr="009E4903">
        <w:rPr>
          <w:bCs/>
        </w:rPr>
        <w:t xml:space="preserve">1, 3 Trestného zákona. Obvinené osoby konajúce v mene </w:t>
      </w:r>
      <w:r w:rsidR="009E4903" w:rsidRPr="00136DA6">
        <w:rPr>
          <w:bCs/>
        </w:rPr>
        <w:t>nemenovanej štátnej vysokej školy</w:t>
      </w:r>
      <w:r w:rsidRPr="009E4903">
        <w:rPr>
          <w:bCs/>
        </w:rPr>
        <w:t>, v postavení rámcového partnera za SR vo vzťahu k</w:t>
      </w:r>
      <w:r w:rsidR="00D3267C">
        <w:rPr>
          <w:bCs/>
        </w:rPr>
        <w:t xml:space="preserve"> európskej </w:t>
      </w:r>
      <w:r w:rsidRPr="009E4903">
        <w:rPr>
          <w:bCs/>
        </w:rPr>
        <w:t>agentúre, použili prostriedky Európskej únie žiadané na základe Rám</w:t>
      </w:r>
      <w:r w:rsidRPr="00970FCF">
        <w:rPr>
          <w:bCs/>
        </w:rPr>
        <w:t xml:space="preserve">covej partnerskej dohody </w:t>
      </w:r>
      <w:r w:rsidRPr="00136DA6">
        <w:rPr>
          <w:bCs/>
        </w:rPr>
        <w:t>v rozpore s účelom, na ktorý boli viazané, tak že zakúpili okrem iného kuchynskú linku, 3 ks klimatizačných jednotiek, laminátovú podlahu vrátane služieb spojených s inštaláciou uvedených tovarov, čím bola spôsobená škoda na rozpočte Európskej únie v sume najmenej 26 619,44 EUR.</w:t>
      </w:r>
    </w:p>
    <w:p w:rsidR="0097198E" w:rsidRPr="0097198E" w:rsidRDefault="0097198E" w:rsidP="0097198E">
      <w:pPr>
        <w:pStyle w:val="Odsekzoznamu"/>
        <w:rPr>
          <w:bCs/>
        </w:rPr>
      </w:pPr>
    </w:p>
    <w:p w:rsidR="00BE57A6" w:rsidRDefault="00BE57A6" w:rsidP="00D01756">
      <w:pPr>
        <w:pStyle w:val="Odsekzoznamu"/>
        <w:numPr>
          <w:ilvl w:val="0"/>
          <w:numId w:val="19"/>
        </w:numPr>
        <w:ind w:left="0"/>
        <w:jc w:val="both"/>
        <w:rPr>
          <w:bCs/>
        </w:rPr>
      </w:pPr>
      <w:r w:rsidRPr="009E4903">
        <w:rPr>
          <w:bCs/>
        </w:rPr>
        <w:t xml:space="preserve">Vyšetrovateľ vzniesol obvinenie </w:t>
      </w:r>
      <w:r w:rsidR="006D46DA">
        <w:rPr>
          <w:bCs/>
        </w:rPr>
        <w:t xml:space="preserve">voči </w:t>
      </w:r>
      <w:r w:rsidRPr="009E4903">
        <w:rPr>
          <w:bCs/>
        </w:rPr>
        <w:t xml:space="preserve">2 osobám za prečin poškodzovania finančných záujmov Európskych spoločenstiev </w:t>
      </w:r>
      <w:r w:rsidR="000C5DFC">
        <w:rPr>
          <w:bCs/>
        </w:rPr>
        <w:t xml:space="preserve">podľa </w:t>
      </w:r>
      <w:r w:rsidRPr="009E4903">
        <w:rPr>
          <w:bCs/>
        </w:rPr>
        <w:t>§ 261</w:t>
      </w:r>
      <w:r w:rsidR="00947A86">
        <w:rPr>
          <w:bCs/>
        </w:rPr>
        <w:t xml:space="preserve"> ods. </w:t>
      </w:r>
      <w:r w:rsidRPr="009E4903">
        <w:rPr>
          <w:bCs/>
        </w:rPr>
        <w:t>1, 4 Trestného zákona. Obvinená osoba, ako účtovníčka deleg</w:t>
      </w:r>
      <w:r w:rsidRPr="00136DA6">
        <w:rPr>
          <w:bCs/>
        </w:rPr>
        <w:t>ácie Komisie v SR, predkladala na podpis oprávneným osobám za Delegáciu Európskej komisie v SR príkazy na úhradu povinného poistného za zamestnancov Delegácie Európskej komisie v SR, ktoré malo byť poukazované na účet Sociálnej poisťovn</w:t>
      </w:r>
      <w:r w:rsidR="00175C89">
        <w:rPr>
          <w:bCs/>
        </w:rPr>
        <w:t>e</w:t>
      </w:r>
      <w:r w:rsidRPr="00136DA6">
        <w:rPr>
          <w:bCs/>
        </w:rPr>
        <w:t>, kde na príkazoch uvádzala účet, ktorého jediným majiteľom a disponentom bol jej manžel. Na základe týchto príkazov boli poukázané sumy z účtu v celkovej výške 461 347,10 EUR.</w:t>
      </w:r>
    </w:p>
    <w:p w:rsidR="0097198E" w:rsidRPr="0097198E" w:rsidRDefault="0097198E" w:rsidP="0097198E">
      <w:pPr>
        <w:pStyle w:val="Odsekzoznamu"/>
        <w:rPr>
          <w:bCs/>
        </w:rPr>
      </w:pPr>
    </w:p>
    <w:p w:rsidR="00BE57A6" w:rsidRPr="00136DA6" w:rsidRDefault="00BE57A6" w:rsidP="00D01756">
      <w:pPr>
        <w:pStyle w:val="Odsekzoznamu"/>
        <w:numPr>
          <w:ilvl w:val="0"/>
          <w:numId w:val="19"/>
        </w:numPr>
        <w:ind w:left="0"/>
        <w:jc w:val="both"/>
        <w:rPr>
          <w:bCs/>
        </w:rPr>
      </w:pPr>
      <w:r w:rsidRPr="00136DA6">
        <w:rPr>
          <w:bCs/>
        </w:rPr>
        <w:t xml:space="preserve">Vyšetrovateľ vzniesol obvinenie </w:t>
      </w:r>
      <w:r w:rsidR="006D46DA">
        <w:rPr>
          <w:bCs/>
        </w:rPr>
        <w:t xml:space="preserve">voči </w:t>
      </w:r>
      <w:r w:rsidRPr="00136DA6">
        <w:rPr>
          <w:bCs/>
        </w:rPr>
        <w:t xml:space="preserve">konateľovi obchodnej spoločnosti </w:t>
      </w:r>
      <w:r w:rsidR="009E4903" w:rsidRPr="00136DA6">
        <w:rPr>
          <w:bCs/>
        </w:rPr>
        <w:t xml:space="preserve">XY </w:t>
      </w:r>
      <w:r w:rsidRPr="009E4903">
        <w:rPr>
          <w:bCs/>
        </w:rPr>
        <w:t xml:space="preserve">za prečin </w:t>
      </w:r>
      <w:r w:rsidRPr="00136DA6">
        <w:rPr>
          <w:bCs/>
        </w:rPr>
        <w:t xml:space="preserve">poškodzovania finančných záujmov Európskych spoločenstiev </w:t>
      </w:r>
      <w:r w:rsidR="00175C89">
        <w:rPr>
          <w:bCs/>
        </w:rPr>
        <w:t xml:space="preserve">podľa </w:t>
      </w:r>
      <w:r w:rsidRPr="00136DA6">
        <w:rPr>
          <w:bCs/>
        </w:rPr>
        <w:t>§ 261</w:t>
      </w:r>
      <w:r w:rsidR="00947A86">
        <w:rPr>
          <w:bCs/>
        </w:rPr>
        <w:t xml:space="preserve"> ods. </w:t>
      </w:r>
      <w:r w:rsidRPr="00136DA6">
        <w:rPr>
          <w:bCs/>
        </w:rPr>
        <w:t>1, 3 Trestného zákona sčasti dokonaný a sčasti v štádiu pokusu podľa § 14</w:t>
      </w:r>
      <w:r w:rsidR="0060290A">
        <w:rPr>
          <w:bCs/>
        </w:rPr>
        <w:t xml:space="preserve"> ods. </w:t>
      </w:r>
      <w:r w:rsidRPr="00136DA6">
        <w:rPr>
          <w:bCs/>
        </w:rPr>
        <w:t>1 Trestného zákona a za zločin  subvenčného podvodu podľa § 225</w:t>
      </w:r>
      <w:r w:rsidR="0060290A">
        <w:rPr>
          <w:bCs/>
        </w:rPr>
        <w:t xml:space="preserve"> ods. </w:t>
      </w:r>
      <w:r w:rsidRPr="00136DA6">
        <w:rPr>
          <w:bCs/>
        </w:rPr>
        <w:t xml:space="preserve"> 1, 2, 4a Trestného zákona sčasti dokonaný a sčasti v štádiu pokusu podľa § 14</w:t>
      </w:r>
      <w:r w:rsidR="0060290A">
        <w:rPr>
          <w:bCs/>
        </w:rPr>
        <w:t xml:space="preserve"> ods. </w:t>
      </w:r>
      <w:r w:rsidRPr="00136DA6">
        <w:rPr>
          <w:bCs/>
        </w:rPr>
        <w:t>1 Trestného zákona, keď uzavrel s</w:t>
      </w:r>
      <w:r w:rsidR="009E4903" w:rsidRPr="00136DA6">
        <w:rPr>
          <w:bCs/>
        </w:rPr>
        <w:t> nemenovaným D</w:t>
      </w:r>
      <w:r w:rsidRPr="009E4903">
        <w:rPr>
          <w:bCs/>
        </w:rPr>
        <w:t>ohodu o poskytnutí príspevku na zriadenie chránenej dielne alebo chráneného pracoviska, ktoré nerealizoval, príspevok použil na iný ako urč</w:t>
      </w:r>
      <w:r w:rsidRPr="00136DA6">
        <w:rPr>
          <w:bCs/>
        </w:rPr>
        <w:t>ený účel, čím spôsobil škodu</w:t>
      </w:r>
      <w:r w:rsidR="00D40333">
        <w:rPr>
          <w:bCs/>
        </w:rPr>
        <w:t>,</w:t>
      </w:r>
      <w:r w:rsidRPr="00136DA6">
        <w:rPr>
          <w:bCs/>
        </w:rPr>
        <w:t xml:space="preserve"> a to sčasti aj v štádiu pokusu na prostriedkoch z Európskeho sociálneho fondu vo výške 7 489,18 EUR a zo štátneho rozpočtu SR vo výške 1 321,62 EUR. Ako konateľ obchodnej spoločnosti </w:t>
      </w:r>
      <w:r w:rsidR="009E4903" w:rsidRPr="00136DA6">
        <w:rPr>
          <w:bCs/>
        </w:rPr>
        <w:t xml:space="preserve">XY </w:t>
      </w:r>
      <w:r w:rsidRPr="009E4903">
        <w:rPr>
          <w:bCs/>
        </w:rPr>
        <w:t>uzavrel s</w:t>
      </w:r>
      <w:r w:rsidR="009E4903" w:rsidRPr="00136DA6">
        <w:rPr>
          <w:bCs/>
        </w:rPr>
        <w:t xml:space="preserve"> nemenovaným </w:t>
      </w:r>
      <w:r w:rsidR="00755E8F">
        <w:rPr>
          <w:bCs/>
        </w:rPr>
        <w:t>ú</w:t>
      </w:r>
      <w:r w:rsidRPr="009E4903">
        <w:rPr>
          <w:bCs/>
        </w:rPr>
        <w:t>radom práce, sociálnych vecí a rodiny</w:t>
      </w:r>
      <w:r w:rsidRPr="00970FCF">
        <w:rPr>
          <w:bCs/>
        </w:rPr>
        <w:t xml:space="preserve"> </w:t>
      </w:r>
      <w:r w:rsidR="00755E8F">
        <w:rPr>
          <w:bCs/>
        </w:rPr>
        <w:t>SR D</w:t>
      </w:r>
      <w:r w:rsidRPr="00970FCF">
        <w:rPr>
          <w:bCs/>
        </w:rPr>
        <w:t>ohodu o poskytnutí príspevku na zriadenie chránenej dielne alebo chráneného pracoviska, ktoré nerealizoval a takto získaný finančný príspevok použil na iný ako určený účel, čím spôsobil škodu</w:t>
      </w:r>
      <w:r w:rsidR="00D40333">
        <w:rPr>
          <w:bCs/>
        </w:rPr>
        <w:t>,</w:t>
      </w:r>
      <w:r w:rsidRPr="00970FCF">
        <w:rPr>
          <w:bCs/>
        </w:rPr>
        <w:t xml:space="preserve"> a to sčast</w:t>
      </w:r>
      <w:r w:rsidRPr="00136DA6">
        <w:rPr>
          <w:bCs/>
        </w:rPr>
        <w:t xml:space="preserve">i aj v štádiu pokusu na prostriedkoch z Európskeho sociálneho fondu vo výške 54 275,81 EUR a zo štátneho rozpočtu SR vo výške 9 578,08 EUR. </w:t>
      </w:r>
    </w:p>
    <w:p w:rsidR="007E4961" w:rsidRPr="00267E0C" w:rsidRDefault="006D46DA" w:rsidP="00A22BD1">
      <w:pPr>
        <w:jc w:val="both"/>
      </w:pPr>
      <w:r w:rsidRPr="00C71C1D">
        <w:rPr>
          <w:b/>
        </w:rPr>
        <w:t>Ďalším</w:t>
      </w:r>
      <w:r w:rsidR="00F97804" w:rsidRPr="00C71C1D">
        <w:rPr>
          <w:b/>
        </w:rPr>
        <w:t>i</w:t>
      </w:r>
      <w:r w:rsidRPr="00C71C1D">
        <w:rPr>
          <w:b/>
        </w:rPr>
        <w:t xml:space="preserve"> prí</w:t>
      </w:r>
      <w:r w:rsidR="00E8382E" w:rsidRPr="00C71C1D">
        <w:rPr>
          <w:b/>
        </w:rPr>
        <w:t>padmi</w:t>
      </w:r>
      <w:r>
        <w:t xml:space="preserve">, </w:t>
      </w:r>
      <w:r w:rsidR="00C71C1D">
        <w:t xml:space="preserve">v ktorých </w:t>
      </w:r>
      <w:r>
        <w:t>bolo v roku 2012 začaté trestné stíhanie (prípad</w:t>
      </w:r>
      <w:r w:rsidR="00C71C1D">
        <w:t>y</w:t>
      </w:r>
      <w:r>
        <w:t xml:space="preserve"> eviduje s</w:t>
      </w:r>
      <w:r w:rsidR="007E4961" w:rsidRPr="00267E0C">
        <w:t xml:space="preserve">prostredkovateľský orgán pod riadiacim orgánom </w:t>
      </w:r>
      <w:r>
        <w:t>- O</w:t>
      </w:r>
      <w:r w:rsidR="00755E8F">
        <w:t xml:space="preserve">peračný program Vzdelávanie) </w:t>
      </w:r>
      <w:r>
        <w:t xml:space="preserve">v súvislosti s podozrením na </w:t>
      </w:r>
      <w:r w:rsidR="007E4961" w:rsidRPr="00267E0C">
        <w:t>podvod vo vzťahu k</w:t>
      </w:r>
      <w:r>
        <w:t> poškodzovaniu finančných záujmov EÚ v</w:t>
      </w:r>
      <w:r w:rsidR="00D6427C">
        <w:t> </w:t>
      </w:r>
      <w:r>
        <w:t>SR</w:t>
      </w:r>
      <w:r w:rsidR="00D6427C">
        <w:t xml:space="preserve"> </w:t>
      </w:r>
      <w:r w:rsidR="00F97804">
        <w:t>sú</w:t>
      </w:r>
      <w:r w:rsidR="007E4961" w:rsidRPr="00267E0C">
        <w:t>:</w:t>
      </w:r>
    </w:p>
    <w:p w:rsidR="007E4961" w:rsidRPr="00267E0C" w:rsidRDefault="007E4961" w:rsidP="0052468E">
      <w:pPr>
        <w:pStyle w:val="Odsekzoznamu"/>
        <w:numPr>
          <w:ilvl w:val="0"/>
          <w:numId w:val="14"/>
        </w:numPr>
        <w:ind w:left="0"/>
        <w:jc w:val="both"/>
      </w:pPr>
      <w:r w:rsidRPr="00267E0C">
        <w:t xml:space="preserve">Na základe trestného oznámenia </w:t>
      </w:r>
      <w:r w:rsidR="001D4300">
        <w:t xml:space="preserve">nemenovanej </w:t>
      </w:r>
      <w:r w:rsidRPr="00267E0C">
        <w:t xml:space="preserve">Správy finančnej kontroly bolo začaté trestné stíhanie vo veci trestného činu poškodzovania finančných záujemcov Európskych spoločenstiev podľa § 261 ods. 1, ods. 2 písm. a) Trestného zákona v jednočinnom súbehu s pokračujúcim zločinom subvenčného podvodu podľa § 225 ods. 1 Trestného zákona. Podstata protiprávneho konania spočíva v tom, že prijímateľ </w:t>
      </w:r>
      <w:r w:rsidR="00593B67" w:rsidRPr="00267E0C">
        <w:t xml:space="preserve">(nemenovaná základná škola) </w:t>
      </w:r>
      <w:r w:rsidRPr="00267E0C">
        <w:t xml:space="preserve">v žiadostiach o platbu deklaroval pracovné </w:t>
      </w:r>
      <w:r w:rsidRPr="00267E0C">
        <w:lastRenderedPageBreak/>
        <w:t xml:space="preserve">činnosti, ktoré v skutočnosti realizované neboli a zaúčtoval výdavky za obstaranie tovarov, ktoré v skutočnosti obstarané neboli. Aktuálne vyčíslená škoda v trestnom konaní predstavuje výšku 7 847,00 EUR. </w:t>
      </w:r>
      <w:r w:rsidR="00D3267C">
        <w:t>Prípad je riešený orgánmi činnými v trestnom konaní.</w:t>
      </w:r>
    </w:p>
    <w:p w:rsidR="007E4961" w:rsidRPr="00267E0C" w:rsidRDefault="001D4300" w:rsidP="00D01756">
      <w:pPr>
        <w:pStyle w:val="Odsekzoznamu"/>
        <w:numPr>
          <w:ilvl w:val="0"/>
          <w:numId w:val="14"/>
        </w:numPr>
        <w:ind w:left="0"/>
        <w:jc w:val="both"/>
      </w:pPr>
      <w:r>
        <w:t xml:space="preserve">V ďalšom prípade policajné orgány </w:t>
      </w:r>
      <w:r w:rsidR="007E4961" w:rsidRPr="00267E0C">
        <w:t>zhromažďuj</w:t>
      </w:r>
      <w:r>
        <w:t>ú</w:t>
      </w:r>
      <w:r w:rsidR="007E4961" w:rsidRPr="00267E0C">
        <w:t xml:space="preserve"> dôkazy a dokumentáciu z dôvodu podozrenia zo spáchania </w:t>
      </w:r>
      <w:r w:rsidR="007E4961" w:rsidRPr="00A940C4">
        <w:t>trestného činu podvodu</w:t>
      </w:r>
      <w:r>
        <w:t xml:space="preserve"> v</w:t>
      </w:r>
      <w:r w:rsidR="007E4961" w:rsidRPr="00267E0C">
        <w:t xml:space="preserve"> súvislosti s</w:t>
      </w:r>
      <w:r>
        <w:t xml:space="preserve"> bližšie nemenovaným </w:t>
      </w:r>
      <w:r w:rsidR="007E4961" w:rsidRPr="00267E0C">
        <w:t xml:space="preserve">projektom </w:t>
      </w:r>
      <w:r w:rsidR="00593B67" w:rsidRPr="00267E0C">
        <w:t>(prijímateľom bola nemenovaná stredná odborná škola)</w:t>
      </w:r>
      <w:r>
        <w:t xml:space="preserve">. Išlo </w:t>
      </w:r>
      <w:r w:rsidR="007E4961" w:rsidRPr="00267E0C">
        <w:t>o položky</w:t>
      </w:r>
      <w:r w:rsidR="00267E0C">
        <w:t xml:space="preserve"> rozpočtu, týkajúce sa v</w:t>
      </w:r>
      <w:r w:rsidR="007E4961" w:rsidRPr="00267E0C">
        <w:t>ytvoreni</w:t>
      </w:r>
      <w:r w:rsidR="00267E0C">
        <w:t>a</w:t>
      </w:r>
      <w:r w:rsidR="007E4961" w:rsidRPr="00267E0C">
        <w:t xml:space="preserve"> nového metodicko-didaktického materiálu na výučbu anglického jazyka (DVD + učebný materiál)</w:t>
      </w:r>
      <w:r w:rsidR="00267E0C">
        <w:t xml:space="preserve"> v celkovej sume </w:t>
      </w:r>
      <w:r w:rsidR="007E4961" w:rsidRPr="00267E0C">
        <w:t>64 200 EUR.</w:t>
      </w:r>
    </w:p>
    <w:p w:rsidR="00ED5A70" w:rsidRDefault="007E4961" w:rsidP="00D01756">
      <w:pPr>
        <w:pStyle w:val="Odsekzoznamu"/>
        <w:ind w:left="0"/>
        <w:jc w:val="both"/>
      </w:pPr>
      <w:r w:rsidRPr="00267E0C">
        <w:t>Je tu podozrenie, že predmetné DVD</w:t>
      </w:r>
      <w:r w:rsidR="00D40333">
        <w:t>,</w:t>
      </w:r>
      <w:r w:rsidRPr="00267E0C">
        <w:t xml:space="preserve"> ako aj učebný materiál</w:t>
      </w:r>
      <w:r w:rsidR="00D40333">
        <w:t>,</w:t>
      </w:r>
      <w:r w:rsidRPr="00267E0C">
        <w:t xml:space="preserve"> boli vytvorené ešte pred </w:t>
      </w:r>
      <w:r w:rsidR="00D6427C">
        <w:t xml:space="preserve">uzavretím zmluvy k </w:t>
      </w:r>
      <w:r w:rsidRPr="00267E0C">
        <w:t>projektu.</w:t>
      </w:r>
      <w:r w:rsidR="00267E0C">
        <w:t xml:space="preserve"> Ďalšie podozrenia v súvislosti s daným projektom sa týkali praktickej výučby žiakov v</w:t>
      </w:r>
      <w:r w:rsidR="002F7999">
        <w:t> </w:t>
      </w:r>
      <w:r w:rsidR="00267E0C">
        <w:t>zahraničí</w:t>
      </w:r>
      <w:r w:rsidR="002F7999">
        <w:t xml:space="preserve">, ide </w:t>
      </w:r>
      <w:r w:rsidR="001268EE">
        <w:t xml:space="preserve">o </w:t>
      </w:r>
      <w:r w:rsidR="002F7999">
        <w:t>položk</w:t>
      </w:r>
      <w:r w:rsidR="00E76994">
        <w:t>y</w:t>
      </w:r>
      <w:r w:rsidR="002F7999">
        <w:t xml:space="preserve"> rozpočtu v celkovej výške </w:t>
      </w:r>
      <w:r w:rsidR="002F7999" w:rsidRPr="00267E0C">
        <w:t>19 200,00 EUR</w:t>
      </w:r>
      <w:r w:rsidR="00E76994">
        <w:t xml:space="preserve">. </w:t>
      </w:r>
      <w:r w:rsidRPr="00267E0C">
        <w:t>Lektori mali viesť kurz anglického jazyka žiakov 3. a 4. ročníka SOŠ na Cypre. Je podozrenie, že takýto kurz žiakov na Cypre v skutočnosti vôbec neprebehol. Ďalšie podozrenie sa viaže k</w:t>
      </w:r>
      <w:r w:rsidR="00C71C1D">
        <w:t xml:space="preserve"> položke</w:t>
      </w:r>
      <w:r w:rsidRPr="00267E0C">
        <w:t>, ktorá zahŕňa ubytovanie a stravu v</w:t>
      </w:r>
      <w:r w:rsidR="00E76994">
        <w:t> </w:t>
      </w:r>
      <w:r w:rsidRPr="00267E0C">
        <w:t>hoteli</w:t>
      </w:r>
      <w:r w:rsidR="00E76994">
        <w:t xml:space="preserve"> </w:t>
      </w:r>
      <w:r w:rsidR="002F7999">
        <w:t xml:space="preserve">v celkovej výške </w:t>
      </w:r>
      <w:r w:rsidRPr="00267E0C">
        <w:t xml:space="preserve">50 782,50 EUR. </w:t>
      </w:r>
      <w:r w:rsidR="002F7999">
        <w:t xml:space="preserve">Je tu podozrenie, že </w:t>
      </w:r>
      <w:r w:rsidRPr="00267E0C">
        <w:t xml:space="preserve">poplatky za ubytovanie a stravu boli študentom strhávané zo mzdy, ktorú na praxi na Cypre dostávali, náklady si teda študenti znášali sami. </w:t>
      </w:r>
      <w:r w:rsidR="00651CD1" w:rsidRPr="00651CD1">
        <w:t xml:space="preserve">Prípad je </w:t>
      </w:r>
      <w:r w:rsidR="00BE7059">
        <w:t>r</w:t>
      </w:r>
      <w:r w:rsidR="00651CD1" w:rsidRPr="00651CD1">
        <w:t xml:space="preserve">iešený orgánmi činnými v trestnom konaní. </w:t>
      </w:r>
    </w:p>
    <w:p w:rsidR="00C71C1D" w:rsidRDefault="00C71C1D" w:rsidP="00D01756">
      <w:pPr>
        <w:pStyle w:val="Odsekzoznamu"/>
        <w:ind w:left="0"/>
        <w:jc w:val="both"/>
      </w:pPr>
    </w:p>
    <w:p w:rsidR="00FE021F" w:rsidRDefault="005C2029" w:rsidP="00FE021F">
      <w:pPr>
        <w:pStyle w:val="Nadpis1"/>
      </w:pPr>
      <w:bookmarkStart w:id="12" w:name="_Toc355097136"/>
      <w:r>
        <w:t>5.</w:t>
      </w:r>
      <w:r w:rsidR="00EC2221">
        <w:t xml:space="preserve"> </w:t>
      </w:r>
      <w:r w:rsidR="00FE021F">
        <w:t>Uskutočnené školiace aktivity</w:t>
      </w:r>
      <w:bookmarkEnd w:id="12"/>
    </w:p>
    <w:p w:rsidR="00FE021F" w:rsidRDefault="005C2029" w:rsidP="00FE021F">
      <w:pPr>
        <w:pStyle w:val="Nadpis2"/>
      </w:pPr>
      <w:bookmarkStart w:id="13" w:name="_Toc355097137"/>
      <w:r>
        <w:t>5</w:t>
      </w:r>
      <w:r w:rsidR="00E46113">
        <w:t xml:space="preserve">.1. </w:t>
      </w:r>
      <w:r w:rsidR="00FE021F">
        <w:t xml:space="preserve">Školiace aktivity realizované </w:t>
      </w:r>
      <w:r w:rsidR="00B03953">
        <w:t>OCKÚ OLAF</w:t>
      </w:r>
      <w:bookmarkEnd w:id="13"/>
    </w:p>
    <w:p w:rsidR="00D6427C" w:rsidRPr="00D6427C" w:rsidRDefault="00D6427C" w:rsidP="00D6427C"/>
    <w:p w:rsidR="00D6427C" w:rsidRDefault="003D214B" w:rsidP="00651CD1">
      <w:pPr>
        <w:jc w:val="both"/>
        <w:rPr>
          <w:rFonts w:ascii="Calibri" w:eastAsia="Calibri" w:hAnsi="Calibri" w:cs="Calibri"/>
        </w:rPr>
      </w:pPr>
      <w:r w:rsidRPr="00755E8F">
        <w:rPr>
          <w:rFonts w:ascii="Calibri" w:eastAsia="Calibri" w:hAnsi="Calibri" w:cs="Calibri"/>
        </w:rPr>
        <w:t>OCKÚ OLAF realiz</w:t>
      </w:r>
      <w:r w:rsidR="0044066E" w:rsidRPr="00755E8F">
        <w:rPr>
          <w:rFonts w:ascii="Calibri" w:eastAsia="Calibri" w:hAnsi="Calibri" w:cs="Calibri"/>
        </w:rPr>
        <w:t xml:space="preserve">uje v spolupráci so sieťovými partnermi siete AFCOS </w:t>
      </w:r>
      <w:r w:rsidRPr="00755E8F">
        <w:rPr>
          <w:rFonts w:ascii="Calibri" w:eastAsia="Calibri" w:hAnsi="Calibri" w:cs="Calibri"/>
        </w:rPr>
        <w:t xml:space="preserve">v zmysle Plánu vzdelávania v oblasti ochrany finančných záujmov EÚ </w:t>
      </w:r>
      <w:r w:rsidR="0044066E" w:rsidRPr="00755E8F">
        <w:rPr>
          <w:rFonts w:ascii="Calibri" w:eastAsia="Calibri" w:hAnsi="Calibri" w:cs="Calibri"/>
        </w:rPr>
        <w:t xml:space="preserve">každoročne </w:t>
      </w:r>
      <w:r w:rsidRPr="00755E8F">
        <w:rPr>
          <w:rFonts w:ascii="Calibri" w:eastAsia="Calibri" w:hAnsi="Calibri" w:cs="Calibri"/>
        </w:rPr>
        <w:t>školenia</w:t>
      </w:r>
      <w:r w:rsidR="0044066E" w:rsidRPr="00755E8F">
        <w:rPr>
          <w:rFonts w:ascii="Calibri" w:eastAsia="Calibri" w:hAnsi="Calibri" w:cs="Calibri"/>
        </w:rPr>
        <w:t xml:space="preserve"> </w:t>
      </w:r>
      <w:r w:rsidRPr="00755E8F">
        <w:rPr>
          <w:rFonts w:ascii="Calibri" w:eastAsia="Calibri" w:hAnsi="Calibri" w:cs="Calibri"/>
        </w:rPr>
        <w:t>zamerané na oblasť ochrany finančných záujmov EÚ</w:t>
      </w:r>
      <w:r w:rsidR="00651CD1" w:rsidRPr="00755E8F">
        <w:rPr>
          <w:rFonts w:ascii="Calibri" w:eastAsia="Calibri" w:hAnsi="Calibri" w:cs="Calibri"/>
        </w:rPr>
        <w:t xml:space="preserve">. </w:t>
      </w:r>
    </w:p>
    <w:p w:rsidR="00D6427C" w:rsidRPr="00D6427C" w:rsidRDefault="00D6427C" w:rsidP="00D6427C">
      <w:pPr>
        <w:jc w:val="both"/>
        <w:rPr>
          <w:rFonts w:ascii="Calibri" w:eastAsia="Calibri" w:hAnsi="Calibri" w:cs="Calibri"/>
        </w:rPr>
      </w:pPr>
      <w:r w:rsidRPr="00D6427C">
        <w:rPr>
          <w:rFonts w:ascii="Calibri" w:eastAsia="Calibri" w:hAnsi="Calibri" w:cs="Calibri"/>
        </w:rPr>
        <w:t xml:space="preserve">Cieľovou skupinou </w:t>
      </w:r>
      <w:r w:rsidR="006218FC">
        <w:rPr>
          <w:rFonts w:ascii="Calibri" w:eastAsia="Calibri" w:hAnsi="Calibri" w:cs="Calibri"/>
        </w:rPr>
        <w:t>sú</w:t>
      </w:r>
      <w:r w:rsidR="00E16D6E">
        <w:rPr>
          <w:rFonts w:ascii="Calibri" w:eastAsia="Calibri" w:hAnsi="Calibri" w:cs="Calibri"/>
        </w:rPr>
        <w:t xml:space="preserve"> </w:t>
      </w:r>
      <w:r w:rsidRPr="00D6427C">
        <w:rPr>
          <w:rFonts w:ascii="Calibri" w:eastAsia="Calibri" w:hAnsi="Calibri" w:cs="Calibri"/>
        </w:rPr>
        <w:t xml:space="preserve">zamestnanci verejnej správy podieľajúci sa na implementačnom a kontrolnom systéme štrukturálnych fondov a Kohézneho fondu, poľnohospodárskych fondov a tradičných vlastných zdrojov. </w:t>
      </w:r>
      <w:r w:rsidR="00E8382E">
        <w:rPr>
          <w:rFonts w:ascii="Calibri" w:eastAsia="Calibri" w:hAnsi="Calibri" w:cs="Calibri"/>
        </w:rPr>
        <w:t>Ide</w:t>
      </w:r>
      <w:r w:rsidRPr="00D6427C">
        <w:rPr>
          <w:rFonts w:ascii="Calibri" w:eastAsia="Calibri" w:hAnsi="Calibri" w:cs="Calibri"/>
        </w:rPr>
        <w:t xml:space="preserve"> o zamestnancov riadiacich orgánov, sprostredkovateľských orgánov pod riadiacimi orgánmi, implementačných agentúr, orgánov kontroly a auditu a subjektov </w:t>
      </w:r>
      <w:r w:rsidR="006218FC">
        <w:rPr>
          <w:rFonts w:ascii="Calibri" w:eastAsia="Calibri" w:hAnsi="Calibri" w:cs="Calibri"/>
        </w:rPr>
        <w:t>FS SR</w:t>
      </w:r>
      <w:r w:rsidRPr="00D6427C">
        <w:rPr>
          <w:rFonts w:ascii="Calibri" w:eastAsia="Calibri" w:hAnsi="Calibri" w:cs="Calibri"/>
        </w:rPr>
        <w:t xml:space="preserve">, Generálnej prokuratúry </w:t>
      </w:r>
      <w:r w:rsidR="006218FC">
        <w:rPr>
          <w:rFonts w:ascii="Calibri" w:eastAsia="Calibri" w:hAnsi="Calibri" w:cs="Calibri"/>
        </w:rPr>
        <w:t>SR</w:t>
      </w:r>
      <w:r w:rsidRPr="00D6427C">
        <w:rPr>
          <w:rFonts w:ascii="Calibri" w:eastAsia="Calibri" w:hAnsi="Calibri" w:cs="Calibri"/>
        </w:rPr>
        <w:t xml:space="preserve"> a Prezídia policajného zboru S</w:t>
      </w:r>
      <w:r w:rsidR="00C71C1D">
        <w:rPr>
          <w:rFonts w:ascii="Calibri" w:eastAsia="Calibri" w:hAnsi="Calibri" w:cs="Calibri"/>
        </w:rPr>
        <w:t>R</w:t>
      </w:r>
      <w:r w:rsidRPr="00D6427C">
        <w:rPr>
          <w:rFonts w:ascii="Calibri" w:eastAsia="Calibri" w:hAnsi="Calibri" w:cs="Calibri"/>
        </w:rPr>
        <w:t xml:space="preserve">. </w:t>
      </w:r>
    </w:p>
    <w:p w:rsidR="00470F6E" w:rsidRDefault="0044066E" w:rsidP="00D6427C">
      <w:pPr>
        <w:jc w:val="both"/>
        <w:rPr>
          <w:rFonts w:ascii="Calibri" w:eastAsia="Calibri" w:hAnsi="Calibri" w:cs="Calibri"/>
        </w:rPr>
      </w:pPr>
      <w:r w:rsidRPr="00755E8F">
        <w:rPr>
          <w:rFonts w:ascii="Calibri" w:eastAsia="Calibri" w:hAnsi="Calibri" w:cs="Calibri"/>
        </w:rPr>
        <w:t xml:space="preserve">V roku 2012 </w:t>
      </w:r>
      <w:r w:rsidR="00755E8F" w:rsidRPr="00755E8F">
        <w:rPr>
          <w:rFonts w:ascii="Calibri" w:eastAsia="Calibri" w:hAnsi="Calibri" w:cs="Calibri"/>
        </w:rPr>
        <w:t xml:space="preserve">boli v oblasti </w:t>
      </w:r>
      <w:r w:rsidR="00E8382E">
        <w:rPr>
          <w:rFonts w:ascii="Calibri" w:eastAsia="Calibri" w:hAnsi="Calibri" w:cs="Calibri"/>
        </w:rPr>
        <w:t>ochrany finanč</w:t>
      </w:r>
      <w:r w:rsidR="00E16D6E">
        <w:rPr>
          <w:rFonts w:ascii="Calibri" w:eastAsia="Calibri" w:hAnsi="Calibri" w:cs="Calibri"/>
        </w:rPr>
        <w:t>n</w:t>
      </w:r>
      <w:r w:rsidR="00E8382E">
        <w:rPr>
          <w:rFonts w:ascii="Calibri" w:eastAsia="Calibri" w:hAnsi="Calibri" w:cs="Calibri"/>
        </w:rPr>
        <w:t xml:space="preserve">ých záujmov EÚ </w:t>
      </w:r>
      <w:r w:rsidR="00755E8F" w:rsidRPr="00755E8F">
        <w:rPr>
          <w:rFonts w:ascii="Calibri" w:eastAsia="Calibri" w:hAnsi="Calibri" w:cs="Calibri"/>
        </w:rPr>
        <w:t xml:space="preserve">zrealizované </w:t>
      </w:r>
      <w:r w:rsidRPr="00755E8F">
        <w:rPr>
          <w:rFonts w:ascii="Calibri" w:eastAsia="Calibri" w:hAnsi="Calibri" w:cs="Calibri"/>
        </w:rPr>
        <w:t>školiace aktivity uvedené v</w:t>
      </w:r>
      <w:r w:rsidR="00755E8F" w:rsidRPr="00755E8F">
        <w:rPr>
          <w:rFonts w:ascii="Calibri" w:eastAsia="Calibri" w:hAnsi="Calibri" w:cs="Calibri"/>
        </w:rPr>
        <w:t xml:space="preserve"> nasledujúcej </w:t>
      </w:r>
      <w:r w:rsidRPr="00755E8F">
        <w:rPr>
          <w:rFonts w:ascii="Calibri" w:eastAsia="Calibri" w:hAnsi="Calibri" w:cs="Calibri"/>
        </w:rPr>
        <w:t>tabuľke</w:t>
      </w:r>
      <w:r w:rsidR="006218FC">
        <w:rPr>
          <w:rFonts w:ascii="Calibri" w:eastAsia="Calibri" w:hAnsi="Calibri" w:cs="Calibri"/>
        </w:rPr>
        <w:t>.</w:t>
      </w:r>
      <w:r w:rsidR="006218FC" w:rsidRPr="006218FC">
        <w:rPr>
          <w:rFonts w:ascii="Calibri" w:eastAsia="Calibri" w:hAnsi="Calibri" w:cs="Calibri"/>
        </w:rPr>
        <w:t xml:space="preserve"> </w:t>
      </w:r>
      <w:r w:rsidR="006218FC" w:rsidRPr="00D6427C">
        <w:rPr>
          <w:rFonts w:ascii="Calibri" w:eastAsia="Calibri" w:hAnsi="Calibri" w:cs="Calibri"/>
        </w:rPr>
        <w:t xml:space="preserve">Celkovo bolo počas 16 seminárov </w:t>
      </w:r>
      <w:r w:rsidR="006218FC" w:rsidRPr="00D6427C">
        <w:rPr>
          <w:rFonts w:ascii="Calibri" w:eastAsia="Calibri" w:hAnsi="Calibri" w:cs="Calibri"/>
          <w:b/>
        </w:rPr>
        <w:t>vyškolených 645 zamestnancov verejnej správy</w:t>
      </w:r>
      <w:r w:rsidR="006218FC" w:rsidRPr="00D6427C">
        <w:rPr>
          <w:rFonts w:ascii="Calibri" w:eastAsia="Calibri" w:hAnsi="Calibri" w:cs="Calibri"/>
        </w:rPr>
        <w:t>, čo je o 109 viac ako v roku 2011.</w:t>
      </w:r>
    </w:p>
    <w:p w:rsidR="000B14AC" w:rsidRPr="00755E8F" w:rsidRDefault="00E8382E" w:rsidP="000B14AC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Tab. 3</w:t>
      </w:r>
      <w:r w:rsidR="00FA5D3A"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 xml:space="preserve"> </w:t>
      </w:r>
      <w:r w:rsidR="000B14AC" w:rsidRPr="00755E8F">
        <w:rPr>
          <w:rFonts w:ascii="Calibri" w:eastAsia="Calibri" w:hAnsi="Calibri" w:cs="Calibri"/>
          <w:b/>
        </w:rPr>
        <w:t xml:space="preserve">Vzdelávacie aktivity v oblasti ochrany finančných záujmov Európskej únie </w:t>
      </w:r>
      <w:r w:rsidR="00651CD1" w:rsidRPr="00755E8F">
        <w:rPr>
          <w:rFonts w:ascii="Calibri" w:eastAsia="Calibri" w:hAnsi="Calibri" w:cs="Calibri"/>
          <w:b/>
        </w:rPr>
        <w:t xml:space="preserve">realizované OCKÚ OLAF v spolupráci so sieťovými partnermi </w:t>
      </w:r>
      <w:r w:rsidR="000B14AC" w:rsidRPr="00755E8F">
        <w:rPr>
          <w:rFonts w:ascii="Calibri" w:eastAsia="Calibri" w:hAnsi="Calibri" w:cs="Calibri"/>
          <w:b/>
        </w:rPr>
        <w:t>v roku 2012</w:t>
      </w:r>
    </w:p>
    <w:tbl>
      <w:tblPr>
        <w:tblStyle w:val="Mriekatabuky22"/>
        <w:tblW w:w="0" w:type="auto"/>
        <w:tblLook w:val="04A0" w:firstRow="1" w:lastRow="0" w:firstColumn="1" w:lastColumn="0" w:noHBand="0" w:noVBand="1"/>
      </w:tblPr>
      <w:tblGrid>
        <w:gridCol w:w="729"/>
        <w:gridCol w:w="8559"/>
      </w:tblGrid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4AC" w:rsidRPr="00755E8F" w:rsidRDefault="000B14AC" w:rsidP="000B14AC">
            <w:pPr>
              <w:numPr>
                <w:ilvl w:val="0"/>
                <w:numId w:val="8"/>
              </w:numPr>
              <w:ind w:left="284" w:hanging="284"/>
              <w:contextualSpacing/>
              <w:jc w:val="both"/>
              <w:rPr>
                <w:rFonts w:cs="Calibri"/>
              </w:rPr>
            </w:pP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 w:rsidP="00D014FC">
            <w:pPr>
              <w:jc w:val="both"/>
              <w:rPr>
                <w:rFonts w:cs="Calibri"/>
              </w:rPr>
            </w:pPr>
            <w:proofErr w:type="spellStart"/>
            <w:r w:rsidRPr="00755E8F">
              <w:rPr>
                <w:rFonts w:cs="Calibri"/>
              </w:rPr>
              <w:t>Forenzný</w:t>
            </w:r>
            <w:proofErr w:type="spellEnd"/>
            <w:r w:rsidRPr="00755E8F">
              <w:rPr>
                <w:rFonts w:cs="Calibri"/>
              </w:rPr>
              <w:t xml:space="preserve"> audit</w:t>
            </w:r>
            <w:r w:rsidR="00B44F83">
              <w:rPr>
                <w:rFonts w:cs="Calibri"/>
              </w:rPr>
              <w:t xml:space="preserve"> </w:t>
            </w:r>
            <w:r w:rsidR="00D014FC">
              <w:rPr>
                <w:rFonts w:cs="Calibri"/>
              </w:rPr>
              <w:t xml:space="preserve">- </w:t>
            </w:r>
            <w:r w:rsidR="00B44F83">
              <w:rPr>
                <w:rFonts w:cs="Calibri"/>
              </w:rPr>
              <w:t>v spolupráci s NAKA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2.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Kontrola a audit v rámci implementácie finančnej pomoci Európskej únie v podmienkach Slovenskej republiky</w:t>
            </w:r>
            <w:r w:rsidR="009C1946">
              <w:rPr>
                <w:rFonts w:cs="Calibri"/>
              </w:rPr>
              <w:t xml:space="preserve"> – v spolupráci s MF SR a NKÚ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3.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Evidencia nezrovnalostí do ITMS za účelom korektného vypĺňania Správ o zistenej nezrovnalosti v programovom období 2007 – 2013 – organizované v dvoch termínoch</w:t>
            </w:r>
          </w:p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(realizácia 2 x)</w:t>
            </w:r>
            <w:r w:rsidR="008D21C7">
              <w:rPr>
                <w:rFonts w:cs="Calibri"/>
              </w:rPr>
              <w:t xml:space="preserve"> </w:t>
            </w:r>
            <w:r w:rsidR="00D014FC">
              <w:rPr>
                <w:rFonts w:cs="Calibri"/>
              </w:rPr>
              <w:t xml:space="preserve">- </w:t>
            </w:r>
            <w:r w:rsidR="008D21C7">
              <w:rPr>
                <w:rFonts w:cs="Calibri"/>
              </w:rPr>
              <w:t>v spolupráci s MF SR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4.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Ochrana finančných záujmov Európskej únie v podmienkach Slovenskej republiky</w:t>
            </w:r>
            <w:r w:rsidR="00D014FC">
              <w:rPr>
                <w:rFonts w:cs="Calibri"/>
              </w:rPr>
              <w:t xml:space="preserve"> – ÚV SR 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5.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Nezrovnalosti v poľnohospodárskych fondoch v podmienkach Slovenskej republiky</w:t>
            </w:r>
            <w:r w:rsidR="008D21C7">
              <w:rPr>
                <w:rFonts w:cs="Calibri"/>
              </w:rPr>
              <w:t xml:space="preserve"> – </w:t>
            </w:r>
            <w:r w:rsidR="008D21C7">
              <w:rPr>
                <w:rFonts w:cs="Calibri"/>
              </w:rPr>
              <w:lastRenderedPageBreak/>
              <w:t>v spolupráci s</w:t>
            </w:r>
            <w:r w:rsidR="00D014FC">
              <w:rPr>
                <w:rFonts w:cs="Calibri"/>
              </w:rPr>
              <w:t> </w:t>
            </w:r>
            <w:r w:rsidR="008D21C7">
              <w:rPr>
                <w:rFonts w:cs="Calibri"/>
              </w:rPr>
              <w:t>PPA</w:t>
            </w:r>
            <w:r w:rsidR="00D014FC">
              <w:rPr>
                <w:rFonts w:cs="Calibri"/>
              </w:rPr>
              <w:t xml:space="preserve"> a MPRV SR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lastRenderedPageBreak/>
              <w:t>6.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Zákon č. 25/2006 Z. z. o verejnom obstarávaní a o zmene a doplnení niektorých zákonov z pohľadu aplikačnej praxe</w:t>
            </w:r>
            <w:r w:rsidR="00185FD0">
              <w:rPr>
                <w:rFonts w:cs="Calibri"/>
              </w:rPr>
              <w:t xml:space="preserve"> </w:t>
            </w:r>
            <w:r w:rsidR="0016107E">
              <w:rPr>
                <w:rFonts w:cs="Calibri"/>
              </w:rPr>
              <w:t xml:space="preserve">- </w:t>
            </w:r>
            <w:r w:rsidR="00185FD0">
              <w:rPr>
                <w:rFonts w:cs="Calibri"/>
              </w:rPr>
              <w:t>v spolupráci s ÚVO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7.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Opatrenia colnej správy ako súčasť ochrany finančných záujmov štátu podľa Piatej hlavy zákona č. 300/2005 Z. z. z 20.5.2005, Trestný zákon v znení neskorších predpisov – Trestné činy hospodárske</w:t>
            </w:r>
            <w:r w:rsidR="00185FD0">
              <w:rPr>
                <w:rFonts w:cs="Calibri"/>
              </w:rPr>
              <w:t xml:space="preserve"> – v spolupráci s F</w:t>
            </w:r>
            <w:r w:rsidR="0016107E">
              <w:rPr>
                <w:rFonts w:cs="Calibri"/>
              </w:rPr>
              <w:t>R</w:t>
            </w:r>
            <w:r w:rsidR="00185FD0">
              <w:rPr>
                <w:rFonts w:cs="Calibri"/>
              </w:rPr>
              <w:t xml:space="preserve"> SR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8.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 w:rsidP="0016107E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Nezrovnalosti v</w:t>
            </w:r>
            <w:r w:rsidR="004A34DC" w:rsidRPr="00755E8F">
              <w:rPr>
                <w:rFonts w:cs="Calibri"/>
              </w:rPr>
              <w:t> štrukturálnych fondoch a Kohéznom fonde v</w:t>
            </w:r>
            <w:r w:rsidRPr="00755E8F">
              <w:rPr>
                <w:rFonts w:cs="Calibri"/>
              </w:rPr>
              <w:t> podmienkach Slovenskej republiky</w:t>
            </w:r>
            <w:r w:rsidR="00185FD0">
              <w:rPr>
                <w:rFonts w:cs="Calibri"/>
              </w:rPr>
              <w:t xml:space="preserve"> – v spolupráci s</w:t>
            </w:r>
            <w:r w:rsidR="0016107E">
              <w:rPr>
                <w:rFonts w:cs="Calibri"/>
              </w:rPr>
              <w:t> </w:t>
            </w:r>
            <w:r w:rsidR="00185FD0">
              <w:rPr>
                <w:rFonts w:cs="Calibri"/>
              </w:rPr>
              <w:t>M</w:t>
            </w:r>
            <w:r w:rsidR="0016107E">
              <w:rPr>
                <w:rFonts w:cs="Calibri"/>
              </w:rPr>
              <w:t>PRV SR a MDVRR SR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9.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Falšovanie peňazí a podvody s platobnými kartami</w:t>
            </w:r>
            <w:r w:rsidR="0016107E">
              <w:rPr>
                <w:rFonts w:cs="Calibri"/>
              </w:rPr>
              <w:t xml:space="preserve"> – v spolupráci s NBS a PPZ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10.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 w:rsidP="0016107E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Aplikácia zákona o verejnom obstarávaní</w:t>
            </w:r>
            <w:r w:rsidR="008D21C7">
              <w:rPr>
                <w:rFonts w:cs="Calibri"/>
              </w:rPr>
              <w:t xml:space="preserve"> </w:t>
            </w:r>
            <w:r w:rsidR="0016107E">
              <w:rPr>
                <w:rFonts w:cs="Calibri"/>
              </w:rPr>
              <w:t xml:space="preserve">- </w:t>
            </w:r>
            <w:r w:rsidR="008D21C7">
              <w:rPr>
                <w:rFonts w:cs="Calibri"/>
              </w:rPr>
              <w:t>v spolupráci s ÚVO</w:t>
            </w:r>
            <w:r w:rsidR="0016107E">
              <w:rPr>
                <w:rFonts w:cs="Calibri"/>
              </w:rPr>
              <w:t xml:space="preserve"> 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11.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 w:rsidP="0016107E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Nezrovnalosti v oblasti tradičných vlastných zdrojov rozpočtu Európskej únie v podmienkach Slovenskej republiky</w:t>
            </w:r>
            <w:r w:rsidR="0016107E">
              <w:rPr>
                <w:rFonts w:cs="Calibri"/>
              </w:rPr>
              <w:t xml:space="preserve"> – v spolupráci s FR SR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12.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 xml:space="preserve">Korektné vypĺňanie formuláru Správa o zistenej nezrovnalosti v rámci evidencie do </w:t>
            </w:r>
            <w:r w:rsidR="0044066E" w:rsidRPr="00755E8F">
              <w:rPr>
                <w:rFonts w:cs="Calibri"/>
              </w:rPr>
              <w:t>I</w:t>
            </w:r>
            <w:r w:rsidR="00263276">
              <w:rPr>
                <w:rFonts w:cs="Calibri"/>
              </w:rPr>
              <w:t xml:space="preserve">T </w:t>
            </w:r>
            <w:r w:rsidR="00801C6D">
              <w:rPr>
                <w:rFonts w:cs="Calibri"/>
              </w:rPr>
              <w:t>M</w:t>
            </w:r>
            <w:r w:rsidR="0044066E" w:rsidRPr="00755E8F">
              <w:rPr>
                <w:rFonts w:cs="Calibri"/>
              </w:rPr>
              <w:t>onitorovacieho systému (</w:t>
            </w:r>
            <w:r w:rsidRPr="00755E8F">
              <w:rPr>
                <w:rFonts w:cs="Calibri"/>
              </w:rPr>
              <w:t>ITMS</w:t>
            </w:r>
            <w:r w:rsidR="0044066E" w:rsidRPr="00755E8F">
              <w:rPr>
                <w:rFonts w:cs="Calibri"/>
              </w:rPr>
              <w:t>)</w:t>
            </w:r>
            <w:r w:rsidRPr="00755E8F">
              <w:rPr>
                <w:rFonts w:cs="Calibri"/>
              </w:rPr>
              <w:t xml:space="preserve"> v programovom období 2007 – 2013 – organizované v dvoch termínoch</w:t>
            </w:r>
            <w:r w:rsidR="0016107E">
              <w:rPr>
                <w:rFonts w:cs="Calibri"/>
              </w:rPr>
              <w:t xml:space="preserve"> – v spolupráci s MF SR</w:t>
            </w:r>
          </w:p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(realizácia 2 x)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13.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755E8F" w:rsidRDefault="000B14AC" w:rsidP="00470F6E">
            <w:pPr>
              <w:jc w:val="both"/>
              <w:rPr>
                <w:rFonts w:cs="Calibri"/>
              </w:rPr>
            </w:pPr>
            <w:r w:rsidRPr="00755E8F">
              <w:rPr>
                <w:rFonts w:cs="Calibri"/>
              </w:rPr>
              <w:t>Školenie určené pre vyšetrovateľov a operatívnu zložku ÚBPK PPZ</w:t>
            </w:r>
            <w:r w:rsidR="004A34DC" w:rsidRPr="00755E8F">
              <w:rPr>
                <w:rFonts w:cs="Calibri"/>
              </w:rPr>
              <w:t xml:space="preserve"> (NAKA)</w:t>
            </w:r>
            <w:r w:rsidRPr="00755E8F">
              <w:rPr>
                <w:rFonts w:cs="Calibri"/>
              </w:rPr>
              <w:t xml:space="preserve"> o problematike implementácie štrukturálnych fondov a Kohézneho fondu</w:t>
            </w:r>
            <w:r w:rsidR="007C090F" w:rsidRPr="00755E8F">
              <w:rPr>
                <w:rFonts w:cs="Calibri"/>
              </w:rPr>
              <w:t xml:space="preserve"> </w:t>
            </w:r>
            <w:r w:rsidR="00470F6E" w:rsidRPr="00755E8F">
              <w:rPr>
                <w:rFonts w:cs="Calibri"/>
              </w:rPr>
              <w:t xml:space="preserve"> pod názvom </w:t>
            </w:r>
            <w:r w:rsidR="007C090F" w:rsidRPr="00755E8F">
              <w:rPr>
                <w:rFonts w:cs="Calibri"/>
              </w:rPr>
              <w:t xml:space="preserve"> „Úvod do </w:t>
            </w:r>
            <w:r w:rsidR="00470F6E" w:rsidRPr="00755E8F">
              <w:rPr>
                <w:rFonts w:cs="Calibri"/>
              </w:rPr>
              <w:t>štrukturálnych fondov a Kohézneho fondu“</w:t>
            </w:r>
            <w:r w:rsidR="007C090F" w:rsidRPr="00755E8F">
              <w:rPr>
                <w:rFonts w:cs="Calibri"/>
              </w:rPr>
              <w:t xml:space="preserve"> </w:t>
            </w:r>
            <w:r w:rsidRPr="00755E8F">
              <w:rPr>
                <w:rFonts w:cs="Calibri"/>
              </w:rPr>
              <w:t>(realizácia 2 x)</w:t>
            </w:r>
            <w:r w:rsidR="0016107E">
              <w:rPr>
                <w:rFonts w:cs="Calibri"/>
              </w:rPr>
              <w:t xml:space="preserve"> – v spolupráci s CKO a MF SR</w:t>
            </w:r>
          </w:p>
        </w:tc>
      </w:tr>
      <w:tr w:rsidR="000B14AC" w:rsidRPr="00755E8F" w:rsidTr="000B14A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AF1A72" w:rsidRDefault="000B14AC">
            <w:pPr>
              <w:jc w:val="both"/>
              <w:rPr>
                <w:rFonts w:cs="Calibri"/>
                <w:b/>
              </w:rPr>
            </w:pPr>
            <w:r w:rsidRPr="00AF1A72">
              <w:rPr>
                <w:rFonts w:cs="Calibri"/>
                <w:b/>
              </w:rPr>
              <w:t>Spolu</w:t>
            </w:r>
          </w:p>
        </w:tc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4AC" w:rsidRPr="00AF1A72" w:rsidRDefault="00E01A7F" w:rsidP="000B14AC">
            <w:pPr>
              <w:pStyle w:val="Odsekzoznamu"/>
              <w:numPr>
                <w:ilvl w:val="0"/>
                <w:numId w:val="9"/>
              </w:numPr>
              <w:jc w:val="center"/>
              <w:rPr>
                <w:rFonts w:cs="Calibri"/>
                <w:b/>
              </w:rPr>
            </w:pPr>
            <w:r w:rsidRPr="00AF1A72">
              <w:rPr>
                <w:rFonts w:cs="Calibri"/>
                <w:b/>
              </w:rPr>
              <w:t>š</w:t>
            </w:r>
            <w:r w:rsidR="000B14AC" w:rsidRPr="00AF1A72">
              <w:rPr>
                <w:rFonts w:cs="Calibri"/>
                <w:b/>
              </w:rPr>
              <w:t>kolení</w:t>
            </w:r>
          </w:p>
        </w:tc>
      </w:tr>
    </w:tbl>
    <w:p w:rsidR="000B14AC" w:rsidRDefault="000B14AC" w:rsidP="000B14AC"/>
    <w:p w:rsidR="00B06F41" w:rsidRPr="00AF1A72" w:rsidRDefault="00B06F41" w:rsidP="00B06F41">
      <w:pPr>
        <w:rPr>
          <w:rFonts w:cstheme="minorHAnsi"/>
        </w:rPr>
      </w:pPr>
    </w:p>
    <w:p w:rsidR="000B14AC" w:rsidRDefault="000B14AC" w:rsidP="00B06F41"/>
    <w:p w:rsidR="003713E2" w:rsidRDefault="00B240E1" w:rsidP="00B06F41">
      <w:pPr>
        <w:rPr>
          <w:color w:val="FF0000"/>
        </w:rPr>
      </w:pPr>
      <w:r>
        <w:rPr>
          <w:noProof/>
          <w:color w:val="FF0000"/>
          <w:lang w:eastAsia="sk-SK"/>
        </w:rPr>
        <w:drawing>
          <wp:inline distT="0" distB="0" distL="0" distR="0" wp14:anchorId="35C1183B" wp14:editId="4BCB55B7">
            <wp:extent cx="1943100" cy="1458750"/>
            <wp:effectExtent l="0" t="0" r="0" b="8255"/>
            <wp:docPr id="1" name="Obrázok 1" descr="C:\Users\prievalska\Desktop\Foto semináre 2012\seminár IRR v ŠF a KF\IMG_2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valska\Desktop\Foto semináre 2012\seminár IRR v ŠF a KF\IMG_20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4499">
        <w:rPr>
          <w:color w:val="FF0000"/>
        </w:rPr>
        <w:t xml:space="preserve">                                   </w:t>
      </w:r>
      <w:r w:rsidR="005A4499">
        <w:rPr>
          <w:noProof/>
          <w:color w:val="FF0000"/>
          <w:lang w:eastAsia="sk-SK"/>
        </w:rPr>
        <w:drawing>
          <wp:inline distT="0" distB="0" distL="0" distR="0" wp14:anchorId="52A435DB" wp14:editId="00B2ED60">
            <wp:extent cx="1943100" cy="1458750"/>
            <wp:effectExtent l="0" t="0" r="0" b="8255"/>
            <wp:docPr id="4" name="Obrázok 4" descr="C:\Users\prievalska\Desktop\Foto semináre 2012\školenie ITMS 29.10.2012\IMG_2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evalska\Desktop\Foto semináre 2012\školenie ITMS 29.10.2012\IMG_20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393" cy="1463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3E2" w:rsidRPr="00B06F41" w:rsidRDefault="003713E2" w:rsidP="00B06F41">
      <w:pPr>
        <w:rPr>
          <w:color w:val="FF0000"/>
        </w:rPr>
      </w:pPr>
    </w:p>
    <w:p w:rsidR="00FE021F" w:rsidRDefault="005C2029" w:rsidP="00FE021F">
      <w:pPr>
        <w:pStyle w:val="Nadpis2"/>
      </w:pPr>
      <w:bookmarkStart w:id="14" w:name="_Toc355097138"/>
      <w:r>
        <w:t>5</w:t>
      </w:r>
      <w:r w:rsidR="00E46113">
        <w:t xml:space="preserve">.2. </w:t>
      </w:r>
      <w:r w:rsidR="00FE021F">
        <w:t>Školiace aktivity realizované ostatnými sieťovými partnermi</w:t>
      </w:r>
      <w:bookmarkEnd w:id="14"/>
      <w:r w:rsidR="00FE021F">
        <w:t xml:space="preserve"> </w:t>
      </w:r>
    </w:p>
    <w:p w:rsidR="00FE021F" w:rsidRDefault="00FE021F" w:rsidP="00FE021F"/>
    <w:p w:rsidR="00CA5509" w:rsidRDefault="00974A46" w:rsidP="00267E0C">
      <w:pPr>
        <w:jc w:val="both"/>
      </w:pPr>
      <w:r w:rsidRPr="00A940C4">
        <w:rPr>
          <w:b/>
        </w:rPr>
        <w:t>MF SR</w:t>
      </w:r>
      <w:r>
        <w:t xml:space="preserve"> </w:t>
      </w:r>
      <w:r w:rsidR="00DC74D0">
        <w:t>v roku 2012 zorganizovalo 1</w:t>
      </w:r>
      <w:r w:rsidR="0006587F">
        <w:t>1</w:t>
      </w:r>
      <w:r w:rsidR="00DC74D0">
        <w:t xml:space="preserve"> </w:t>
      </w:r>
      <w:r w:rsidR="0006587F">
        <w:t xml:space="preserve">externých a 1 interné </w:t>
      </w:r>
      <w:r w:rsidR="00534D6A">
        <w:t>školen</w:t>
      </w:r>
      <w:r w:rsidR="0006587F">
        <w:t>ie, týkajúce</w:t>
      </w:r>
      <w:r w:rsidR="00DC74D0">
        <w:t xml:space="preserve"> sa problematiky nezrovnalostí </w:t>
      </w:r>
      <w:r w:rsidR="0006587F">
        <w:t xml:space="preserve"> evidovaných v systéme ITMS a ISUF pre riadiace a sprostredkovateľské orgány, MZ SR, ÚV SR, </w:t>
      </w:r>
      <w:r w:rsidR="00755E8F">
        <w:t>správy finančnej kontroly (</w:t>
      </w:r>
      <w:r w:rsidR="0006587F">
        <w:t>SFK</w:t>
      </w:r>
      <w:r w:rsidR="00755E8F">
        <w:t>)</w:t>
      </w:r>
      <w:r w:rsidR="0006587F">
        <w:t xml:space="preserve"> a</w:t>
      </w:r>
      <w:r w:rsidR="00755E8F">
        <w:t> orgán auditu (</w:t>
      </w:r>
      <w:r w:rsidR="0006587F">
        <w:t>OA</w:t>
      </w:r>
      <w:r w:rsidR="00755E8F">
        <w:t>)</w:t>
      </w:r>
      <w:r w:rsidR="0006587F">
        <w:t>.</w:t>
      </w:r>
      <w:r w:rsidR="00B520C9">
        <w:t xml:space="preserve"> Celkovo bolo preškolených </w:t>
      </w:r>
      <w:r w:rsidR="00B520C9" w:rsidRPr="002F7999">
        <w:t>373 pracovníkov</w:t>
      </w:r>
      <w:r w:rsidR="00B520C9">
        <w:t xml:space="preserve">. </w:t>
      </w:r>
    </w:p>
    <w:p w:rsidR="00CA5509" w:rsidRDefault="00CA5509" w:rsidP="007768E3">
      <w:pPr>
        <w:jc w:val="both"/>
        <w:rPr>
          <w:bCs/>
        </w:rPr>
      </w:pPr>
      <w:r w:rsidRPr="00CA5509">
        <w:rPr>
          <w:b/>
        </w:rPr>
        <w:t xml:space="preserve">MDVRR SR, </w:t>
      </w:r>
      <w:r w:rsidRPr="00CA5509">
        <w:t xml:space="preserve">Centrálny koordinačný orgán (ďalej len „CKO“) </w:t>
      </w:r>
      <w:r w:rsidR="00AF1A72" w:rsidRPr="00CA5509">
        <w:t xml:space="preserve">v roku 2012 </w:t>
      </w:r>
      <w:r w:rsidRPr="00CA5509">
        <w:t xml:space="preserve">zorganizoval </w:t>
      </w:r>
      <w:r w:rsidR="00DE011F">
        <w:t>2</w:t>
      </w:r>
      <w:r w:rsidRPr="00CA5509">
        <w:t xml:space="preserve"> školenia zamerané na ochranu finančných záujmov EÚ pod názvom: „Úvod do štrukturálnych fondov a kohézneho fondu“. Účastníkmi boli zástupcovia Prezídia Policajného zboru. Lektormi boli zamestnanci CKO, </w:t>
      </w:r>
      <w:r w:rsidRPr="00CA5509">
        <w:rPr>
          <w:bCs/>
        </w:rPr>
        <w:t>odbor</w:t>
      </w:r>
      <w:r w:rsidR="00AF1A72">
        <w:rPr>
          <w:bCs/>
        </w:rPr>
        <w:t>u</w:t>
      </w:r>
      <w:r w:rsidRPr="00CA5509">
        <w:rPr>
          <w:bCs/>
        </w:rPr>
        <w:t xml:space="preserve"> metodiky a zamestnanci M</w:t>
      </w:r>
      <w:r w:rsidR="001268EE">
        <w:rPr>
          <w:bCs/>
        </w:rPr>
        <w:t>F SR</w:t>
      </w:r>
      <w:r w:rsidRPr="00CA5509">
        <w:rPr>
          <w:bCs/>
        </w:rPr>
        <w:t xml:space="preserve">. Celkovo bolo vyškolených </w:t>
      </w:r>
      <w:r w:rsidR="00DE011F">
        <w:rPr>
          <w:bCs/>
        </w:rPr>
        <w:t>4</w:t>
      </w:r>
      <w:r w:rsidRPr="00CA5509">
        <w:rPr>
          <w:bCs/>
        </w:rPr>
        <w:t xml:space="preserve">0 pracovníkov. </w:t>
      </w:r>
    </w:p>
    <w:p w:rsidR="001F7059" w:rsidRDefault="00DE011F" w:rsidP="007768E3">
      <w:pPr>
        <w:jc w:val="both"/>
        <w:rPr>
          <w:bCs/>
        </w:rPr>
      </w:pPr>
      <w:r w:rsidRPr="003255CA">
        <w:rPr>
          <w:b/>
          <w:bCs/>
        </w:rPr>
        <w:lastRenderedPageBreak/>
        <w:t>Z</w:t>
      </w:r>
      <w:r w:rsidR="001F7059" w:rsidRPr="003255CA">
        <w:rPr>
          <w:b/>
          <w:bCs/>
        </w:rPr>
        <w:t xml:space="preserve">amestnanci </w:t>
      </w:r>
      <w:r w:rsidRPr="003255CA">
        <w:rPr>
          <w:b/>
          <w:bCs/>
        </w:rPr>
        <w:t>ostatných rezortov</w:t>
      </w:r>
      <w:r>
        <w:rPr>
          <w:bCs/>
        </w:rPr>
        <w:t xml:space="preserve"> </w:t>
      </w:r>
      <w:r w:rsidR="001F7059" w:rsidRPr="001F7059">
        <w:rPr>
          <w:bCs/>
        </w:rPr>
        <w:t>sa zúčastnili školení organizovaný</w:t>
      </w:r>
      <w:r>
        <w:rPr>
          <w:bCs/>
        </w:rPr>
        <w:t>ch</w:t>
      </w:r>
      <w:r w:rsidR="001F7059" w:rsidRPr="001F7059">
        <w:rPr>
          <w:bCs/>
        </w:rPr>
        <w:t xml:space="preserve"> </w:t>
      </w:r>
      <w:r w:rsidR="0077559B">
        <w:rPr>
          <w:bCs/>
        </w:rPr>
        <w:t xml:space="preserve">OCKÚ OLAF </w:t>
      </w:r>
      <w:r w:rsidR="00FE7F2A">
        <w:rPr>
          <w:bCs/>
        </w:rPr>
        <w:t>ÚV SR v spolupráci so sieťovými partnermi</w:t>
      </w:r>
      <w:r w:rsidR="009C1946">
        <w:rPr>
          <w:bCs/>
        </w:rPr>
        <w:t xml:space="preserve"> a </w:t>
      </w:r>
      <w:r w:rsidR="0077559B">
        <w:t>zameran</w:t>
      </w:r>
      <w:r w:rsidR="00FE7F2A">
        <w:t>ými</w:t>
      </w:r>
      <w:r w:rsidR="0077559B">
        <w:t xml:space="preserve"> na </w:t>
      </w:r>
      <w:r w:rsidR="0077559B">
        <w:rPr>
          <w:bCs/>
        </w:rPr>
        <w:t>o</w:t>
      </w:r>
      <w:r w:rsidR="001F7059" w:rsidRPr="001F7059">
        <w:rPr>
          <w:bCs/>
        </w:rPr>
        <w:t>blas</w:t>
      </w:r>
      <w:r w:rsidR="0077559B">
        <w:rPr>
          <w:bCs/>
        </w:rPr>
        <w:t>ť</w:t>
      </w:r>
      <w:r w:rsidR="001F7059" w:rsidRPr="001F7059">
        <w:rPr>
          <w:bCs/>
        </w:rPr>
        <w:t xml:space="preserve"> ochrany finančných záujmov</w:t>
      </w:r>
      <w:r w:rsidR="0077559B">
        <w:rPr>
          <w:bCs/>
        </w:rPr>
        <w:t xml:space="preserve"> EÚ</w:t>
      </w:r>
      <w:r>
        <w:rPr>
          <w:bCs/>
        </w:rPr>
        <w:t>.</w:t>
      </w:r>
      <w:r w:rsidR="001F7059" w:rsidRPr="001F7059">
        <w:rPr>
          <w:bCs/>
        </w:rPr>
        <w:t xml:space="preserve"> </w:t>
      </w:r>
    </w:p>
    <w:p w:rsidR="006A5402" w:rsidRDefault="006A5402" w:rsidP="006A5402">
      <w:pPr>
        <w:jc w:val="both"/>
        <w:rPr>
          <w:bCs/>
        </w:rPr>
      </w:pPr>
      <w:r w:rsidRPr="006A5402">
        <w:rPr>
          <w:bCs/>
        </w:rPr>
        <w:t xml:space="preserve">V dňoch 19. - 30. </w:t>
      </w:r>
      <w:r w:rsidR="00AF1A72">
        <w:rPr>
          <w:bCs/>
        </w:rPr>
        <w:t xml:space="preserve">marca </w:t>
      </w:r>
      <w:r w:rsidRPr="006A5402">
        <w:rPr>
          <w:bCs/>
        </w:rPr>
        <w:t xml:space="preserve">2012 sa </w:t>
      </w:r>
      <w:r w:rsidR="00001CEB">
        <w:rPr>
          <w:bCs/>
        </w:rPr>
        <w:t xml:space="preserve">zamestnanci </w:t>
      </w:r>
      <w:r w:rsidR="00001CEB" w:rsidRPr="004128ED">
        <w:rPr>
          <w:b/>
          <w:bCs/>
        </w:rPr>
        <w:t>F</w:t>
      </w:r>
      <w:r w:rsidR="00496BC6">
        <w:rPr>
          <w:b/>
          <w:bCs/>
        </w:rPr>
        <w:t>S SR</w:t>
      </w:r>
      <w:r w:rsidR="00496BC6">
        <w:rPr>
          <w:bCs/>
        </w:rPr>
        <w:t xml:space="preserve"> </w:t>
      </w:r>
      <w:r w:rsidR="00001CEB" w:rsidRPr="006A5402">
        <w:rPr>
          <w:bCs/>
        </w:rPr>
        <w:t xml:space="preserve">zúčastnili </w:t>
      </w:r>
      <w:r w:rsidRPr="006A5402">
        <w:rPr>
          <w:bCs/>
        </w:rPr>
        <w:t xml:space="preserve">na školení v Mojmírovciach, ktoré bolo realizované </w:t>
      </w:r>
      <w:r w:rsidR="00FE7F2A">
        <w:rPr>
          <w:bCs/>
        </w:rPr>
        <w:t>FS SR v spolupráci s </w:t>
      </w:r>
      <w:proofErr w:type="spellStart"/>
      <w:r w:rsidR="00FE7F2A">
        <w:rPr>
          <w:bCs/>
        </w:rPr>
        <w:t>OLAF-om</w:t>
      </w:r>
      <w:proofErr w:type="spellEnd"/>
      <w:r w:rsidR="00FE7F2A">
        <w:rPr>
          <w:bCs/>
        </w:rPr>
        <w:t xml:space="preserve"> </w:t>
      </w:r>
      <w:r w:rsidRPr="006A5402">
        <w:rPr>
          <w:bCs/>
        </w:rPr>
        <w:t>z projektu HERCULE II, kde sa vzdelávali v boji proti korupcii a</w:t>
      </w:r>
      <w:r w:rsidR="001C31C8">
        <w:rPr>
          <w:bCs/>
        </w:rPr>
        <w:t xml:space="preserve"> podvodom, </w:t>
      </w:r>
      <w:r w:rsidR="009C1946">
        <w:rPr>
          <w:bCs/>
        </w:rPr>
        <w:t>najmä</w:t>
      </w:r>
      <w:r w:rsidR="001C31C8">
        <w:rPr>
          <w:bCs/>
        </w:rPr>
        <w:t xml:space="preserve"> proti </w:t>
      </w:r>
      <w:r w:rsidRPr="00AA73BE">
        <w:rPr>
          <w:bCs/>
        </w:rPr>
        <w:t>pašovaniu</w:t>
      </w:r>
      <w:r w:rsidR="00FE7F2A">
        <w:rPr>
          <w:bCs/>
        </w:rPr>
        <w:t xml:space="preserve"> </w:t>
      </w:r>
      <w:r w:rsidR="001C31C8">
        <w:rPr>
          <w:bCs/>
        </w:rPr>
        <w:t>a falšovaniu tabakových výrobkov</w:t>
      </w:r>
      <w:r w:rsidRPr="006A5402">
        <w:rPr>
          <w:bCs/>
        </w:rPr>
        <w:t>. Lektormi bol</w:t>
      </w:r>
      <w:r w:rsidR="009C1946">
        <w:rPr>
          <w:bCs/>
        </w:rPr>
        <w:t>i</w:t>
      </w:r>
      <w:r w:rsidRPr="006A5402">
        <w:rPr>
          <w:bCs/>
        </w:rPr>
        <w:t xml:space="preserve"> </w:t>
      </w:r>
      <w:r w:rsidR="009C1946">
        <w:rPr>
          <w:bCs/>
        </w:rPr>
        <w:t xml:space="preserve">zamestnanci </w:t>
      </w:r>
      <w:proofErr w:type="spellStart"/>
      <w:r w:rsidRPr="006A5402">
        <w:rPr>
          <w:bCs/>
        </w:rPr>
        <w:t>OLAF-u</w:t>
      </w:r>
      <w:proofErr w:type="spellEnd"/>
      <w:r w:rsidRPr="006A5402">
        <w:rPr>
          <w:bCs/>
        </w:rPr>
        <w:t xml:space="preserve">, sekcie colnej FR SR, Akadémie policajného zboru, Úradu boja proti korupcii a spoločností </w:t>
      </w:r>
      <w:proofErr w:type="spellStart"/>
      <w:r w:rsidRPr="006A5402">
        <w:rPr>
          <w:bCs/>
        </w:rPr>
        <w:t>Philip</w:t>
      </w:r>
      <w:proofErr w:type="spellEnd"/>
      <w:r w:rsidRPr="006A5402">
        <w:rPr>
          <w:bCs/>
        </w:rPr>
        <w:t xml:space="preserve"> </w:t>
      </w:r>
      <w:proofErr w:type="spellStart"/>
      <w:r w:rsidRPr="006A5402">
        <w:rPr>
          <w:bCs/>
        </w:rPr>
        <w:t>Morris</w:t>
      </w:r>
      <w:proofErr w:type="spellEnd"/>
      <w:r w:rsidRPr="006A5402">
        <w:rPr>
          <w:bCs/>
        </w:rPr>
        <w:t xml:space="preserve">, </w:t>
      </w:r>
      <w:proofErr w:type="spellStart"/>
      <w:r w:rsidRPr="006A5402">
        <w:rPr>
          <w:bCs/>
        </w:rPr>
        <w:t>Imperial</w:t>
      </w:r>
      <w:proofErr w:type="spellEnd"/>
      <w:r w:rsidRPr="006A5402">
        <w:rPr>
          <w:bCs/>
        </w:rPr>
        <w:t xml:space="preserve"> </w:t>
      </w:r>
      <w:proofErr w:type="spellStart"/>
      <w:r w:rsidRPr="006A5402">
        <w:rPr>
          <w:bCs/>
        </w:rPr>
        <w:t>Tabacco</w:t>
      </w:r>
      <w:proofErr w:type="spellEnd"/>
      <w:r w:rsidRPr="006A5402">
        <w:rPr>
          <w:bCs/>
        </w:rPr>
        <w:t xml:space="preserve">, Japan </w:t>
      </w:r>
      <w:proofErr w:type="spellStart"/>
      <w:r w:rsidRPr="006A5402">
        <w:rPr>
          <w:bCs/>
        </w:rPr>
        <w:t>Tabacco</w:t>
      </w:r>
      <w:proofErr w:type="spellEnd"/>
      <w:r w:rsidRPr="006A5402">
        <w:rPr>
          <w:bCs/>
        </w:rPr>
        <w:t xml:space="preserve"> </w:t>
      </w:r>
      <w:proofErr w:type="spellStart"/>
      <w:r w:rsidRPr="006A5402">
        <w:rPr>
          <w:bCs/>
        </w:rPr>
        <w:t>Int</w:t>
      </w:r>
      <w:proofErr w:type="spellEnd"/>
      <w:r w:rsidRPr="006A5402">
        <w:rPr>
          <w:bCs/>
        </w:rPr>
        <w:t xml:space="preserve">. a </w:t>
      </w:r>
      <w:proofErr w:type="spellStart"/>
      <w:r w:rsidRPr="006A5402">
        <w:rPr>
          <w:bCs/>
        </w:rPr>
        <w:t>British</w:t>
      </w:r>
      <w:proofErr w:type="spellEnd"/>
      <w:r w:rsidRPr="006A5402">
        <w:rPr>
          <w:bCs/>
        </w:rPr>
        <w:t xml:space="preserve"> </w:t>
      </w:r>
      <w:proofErr w:type="spellStart"/>
      <w:r w:rsidRPr="006A5402">
        <w:rPr>
          <w:bCs/>
        </w:rPr>
        <w:t>American</w:t>
      </w:r>
      <w:proofErr w:type="spellEnd"/>
      <w:r w:rsidRPr="006A5402">
        <w:rPr>
          <w:bCs/>
        </w:rPr>
        <w:t xml:space="preserve"> </w:t>
      </w:r>
      <w:proofErr w:type="spellStart"/>
      <w:r w:rsidRPr="006A5402">
        <w:rPr>
          <w:bCs/>
        </w:rPr>
        <w:t>Tabacco</w:t>
      </w:r>
      <w:proofErr w:type="spellEnd"/>
      <w:r w:rsidRPr="006A5402">
        <w:rPr>
          <w:bCs/>
        </w:rPr>
        <w:t xml:space="preserve">. Na školení predviedli svoje praktické ukážky partneri z českej a slovinskej colnej správy. Súčasťou školenia boli aj </w:t>
      </w:r>
      <w:proofErr w:type="spellStart"/>
      <w:r w:rsidRPr="006A5402">
        <w:rPr>
          <w:bCs/>
        </w:rPr>
        <w:t>workshopy</w:t>
      </w:r>
      <w:proofErr w:type="spellEnd"/>
      <w:r w:rsidRPr="006A5402">
        <w:rPr>
          <w:bCs/>
        </w:rPr>
        <w:t xml:space="preserve"> u </w:t>
      </w:r>
      <w:proofErr w:type="spellStart"/>
      <w:r w:rsidRPr="006A5402">
        <w:rPr>
          <w:bCs/>
        </w:rPr>
        <w:t>autoimportérov</w:t>
      </w:r>
      <w:proofErr w:type="spellEnd"/>
      <w:r w:rsidRPr="006A5402">
        <w:rPr>
          <w:bCs/>
        </w:rPr>
        <w:t xml:space="preserve"> Škoda a </w:t>
      </w:r>
      <w:proofErr w:type="spellStart"/>
      <w:r w:rsidRPr="006A5402">
        <w:rPr>
          <w:bCs/>
        </w:rPr>
        <w:t>Porsche</w:t>
      </w:r>
      <w:proofErr w:type="spellEnd"/>
      <w:r w:rsidRPr="006A5402">
        <w:rPr>
          <w:bCs/>
        </w:rPr>
        <w:t xml:space="preserve"> </w:t>
      </w:r>
      <w:proofErr w:type="spellStart"/>
      <w:r w:rsidRPr="006A5402">
        <w:rPr>
          <w:bCs/>
        </w:rPr>
        <w:t>Inter</w:t>
      </w:r>
      <w:proofErr w:type="spellEnd"/>
      <w:r w:rsidRPr="006A5402">
        <w:rPr>
          <w:bCs/>
        </w:rPr>
        <w:t xml:space="preserve"> Auto, v rámci ktorých si colníci mohli vyskúšať rôzne spôsoby odhaľovania konštrukčných úkrytov. Účastníci si vymenili poznatky a skúsenosti, týkajúce sa danej problematiky, ktoré budú aplikovať v priamom výkone služby pri boji s pašovaním tabakových a iných výrobkov.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</w:tblGrid>
      <w:tr w:rsidR="00CA5509" w:rsidRPr="00CC0A77" w:rsidTr="00D014FC">
        <w:trPr>
          <w:trHeight w:val="915"/>
        </w:trPr>
        <w:tc>
          <w:tcPr>
            <w:tcW w:w="160" w:type="dxa"/>
            <w:vAlign w:val="center"/>
          </w:tcPr>
          <w:p w:rsidR="007E4B70" w:rsidRPr="00CC0A77" w:rsidRDefault="007E4B70" w:rsidP="009C1946">
            <w:pPr>
              <w:jc w:val="both"/>
              <w:rPr>
                <w:highlight w:val="yellow"/>
              </w:rPr>
            </w:pPr>
          </w:p>
        </w:tc>
      </w:tr>
      <w:tr w:rsidR="00D014FC" w:rsidRPr="00CC0A77" w:rsidTr="00D014FC">
        <w:trPr>
          <w:trHeight w:val="915"/>
        </w:trPr>
        <w:tc>
          <w:tcPr>
            <w:tcW w:w="160" w:type="dxa"/>
            <w:vAlign w:val="center"/>
          </w:tcPr>
          <w:p w:rsidR="00D014FC" w:rsidRPr="00CC0A77" w:rsidRDefault="00D014FC" w:rsidP="009C1946">
            <w:pPr>
              <w:jc w:val="both"/>
              <w:rPr>
                <w:highlight w:val="yellow"/>
              </w:rPr>
            </w:pPr>
          </w:p>
        </w:tc>
      </w:tr>
      <w:tr w:rsidR="00FA5D3A" w:rsidRPr="00CC0A77" w:rsidTr="00D014FC">
        <w:trPr>
          <w:trHeight w:val="915"/>
        </w:trPr>
        <w:tc>
          <w:tcPr>
            <w:tcW w:w="160" w:type="dxa"/>
            <w:vAlign w:val="center"/>
          </w:tcPr>
          <w:p w:rsidR="00FA5D3A" w:rsidRDefault="00FA5D3A" w:rsidP="009C1946">
            <w:pPr>
              <w:jc w:val="both"/>
              <w:rPr>
                <w:highlight w:val="yellow"/>
              </w:rPr>
            </w:pPr>
          </w:p>
          <w:p w:rsidR="00FA5D3A" w:rsidRDefault="00FA5D3A" w:rsidP="009C1946">
            <w:pPr>
              <w:jc w:val="both"/>
              <w:rPr>
                <w:highlight w:val="yellow"/>
              </w:rPr>
            </w:pPr>
          </w:p>
          <w:p w:rsidR="00FA5D3A" w:rsidRDefault="00FA5D3A" w:rsidP="009C1946">
            <w:pPr>
              <w:jc w:val="both"/>
              <w:rPr>
                <w:highlight w:val="yellow"/>
              </w:rPr>
            </w:pPr>
          </w:p>
          <w:p w:rsidR="00FA5D3A" w:rsidRDefault="00FA5D3A" w:rsidP="009C1946">
            <w:pPr>
              <w:jc w:val="both"/>
              <w:rPr>
                <w:highlight w:val="yellow"/>
              </w:rPr>
            </w:pPr>
          </w:p>
          <w:p w:rsidR="00FA5D3A" w:rsidRDefault="00FA5D3A" w:rsidP="009C1946">
            <w:pPr>
              <w:jc w:val="both"/>
              <w:rPr>
                <w:highlight w:val="yellow"/>
              </w:rPr>
            </w:pPr>
          </w:p>
          <w:p w:rsidR="00FA5D3A" w:rsidRPr="00CC0A77" w:rsidRDefault="00FA5D3A" w:rsidP="009C1946">
            <w:pPr>
              <w:jc w:val="both"/>
              <w:rPr>
                <w:highlight w:val="yellow"/>
              </w:rPr>
            </w:pPr>
          </w:p>
        </w:tc>
      </w:tr>
      <w:tr w:rsidR="0097198E" w:rsidRPr="00CC0A77" w:rsidTr="00D014FC">
        <w:trPr>
          <w:trHeight w:val="915"/>
        </w:trPr>
        <w:tc>
          <w:tcPr>
            <w:tcW w:w="160" w:type="dxa"/>
            <w:vAlign w:val="center"/>
          </w:tcPr>
          <w:p w:rsidR="0097198E" w:rsidRDefault="0097198E" w:rsidP="009C1946">
            <w:pPr>
              <w:jc w:val="both"/>
              <w:rPr>
                <w:highlight w:val="yellow"/>
              </w:rPr>
            </w:pPr>
          </w:p>
          <w:p w:rsidR="0097198E" w:rsidRDefault="0097198E" w:rsidP="009C1946">
            <w:pPr>
              <w:jc w:val="both"/>
              <w:rPr>
                <w:highlight w:val="yellow"/>
              </w:rPr>
            </w:pPr>
          </w:p>
          <w:p w:rsidR="0097198E" w:rsidRDefault="0097198E" w:rsidP="009C1946">
            <w:pPr>
              <w:jc w:val="both"/>
              <w:rPr>
                <w:highlight w:val="yellow"/>
              </w:rPr>
            </w:pPr>
          </w:p>
          <w:p w:rsidR="0097198E" w:rsidRDefault="0097198E" w:rsidP="009C1946">
            <w:pPr>
              <w:jc w:val="both"/>
              <w:rPr>
                <w:highlight w:val="yellow"/>
              </w:rPr>
            </w:pPr>
          </w:p>
          <w:p w:rsidR="0097198E" w:rsidRDefault="0097198E" w:rsidP="009C1946">
            <w:pPr>
              <w:jc w:val="both"/>
              <w:rPr>
                <w:highlight w:val="yellow"/>
              </w:rPr>
            </w:pPr>
          </w:p>
          <w:p w:rsidR="0097198E" w:rsidRDefault="0097198E" w:rsidP="009C1946">
            <w:pPr>
              <w:jc w:val="both"/>
              <w:rPr>
                <w:highlight w:val="yellow"/>
              </w:rPr>
            </w:pPr>
          </w:p>
          <w:p w:rsidR="0097198E" w:rsidRDefault="0097198E" w:rsidP="009C1946">
            <w:pPr>
              <w:jc w:val="both"/>
              <w:rPr>
                <w:highlight w:val="yellow"/>
              </w:rPr>
            </w:pPr>
          </w:p>
          <w:p w:rsidR="0097198E" w:rsidRDefault="0097198E" w:rsidP="009C1946">
            <w:pPr>
              <w:jc w:val="both"/>
              <w:rPr>
                <w:highlight w:val="yellow"/>
              </w:rPr>
            </w:pPr>
          </w:p>
          <w:p w:rsidR="0097198E" w:rsidRDefault="0097198E" w:rsidP="009C1946">
            <w:pPr>
              <w:jc w:val="both"/>
              <w:rPr>
                <w:highlight w:val="yellow"/>
              </w:rPr>
            </w:pPr>
          </w:p>
          <w:p w:rsidR="0097198E" w:rsidRDefault="0097198E" w:rsidP="009C1946">
            <w:pPr>
              <w:jc w:val="both"/>
              <w:rPr>
                <w:highlight w:val="yellow"/>
              </w:rPr>
            </w:pPr>
          </w:p>
        </w:tc>
      </w:tr>
    </w:tbl>
    <w:p w:rsidR="0097198E" w:rsidRDefault="0097198E" w:rsidP="00CC0A77">
      <w:pPr>
        <w:pStyle w:val="Nadpis1"/>
        <w:tabs>
          <w:tab w:val="right" w:pos="9072"/>
        </w:tabs>
        <w:rPr>
          <w:rStyle w:val="Nadpis1Char"/>
          <w:b/>
          <w:bCs/>
        </w:rPr>
      </w:pPr>
    </w:p>
    <w:p w:rsidR="00FE021F" w:rsidRDefault="005C2029" w:rsidP="00CC0A77">
      <w:pPr>
        <w:pStyle w:val="Nadpis1"/>
        <w:tabs>
          <w:tab w:val="right" w:pos="9072"/>
        </w:tabs>
      </w:pPr>
      <w:bookmarkStart w:id="15" w:name="_Toc355097139"/>
      <w:r>
        <w:rPr>
          <w:rStyle w:val="Nadpis1Char"/>
          <w:b/>
          <w:bCs/>
        </w:rPr>
        <w:t>6</w:t>
      </w:r>
      <w:r w:rsidR="00E46113" w:rsidRPr="00E46113">
        <w:rPr>
          <w:rStyle w:val="Nadpis1Char"/>
          <w:b/>
          <w:bCs/>
        </w:rPr>
        <w:t xml:space="preserve">. </w:t>
      </w:r>
      <w:r w:rsidR="00FE021F" w:rsidRPr="00E46113">
        <w:rPr>
          <w:rStyle w:val="Nadpis1Char"/>
          <w:b/>
          <w:bCs/>
        </w:rPr>
        <w:t>Vydávanie tlačových správ</w:t>
      </w:r>
      <w:bookmarkEnd w:id="15"/>
      <w:r w:rsidR="00FE021F" w:rsidRPr="00E46113">
        <w:t xml:space="preserve"> </w:t>
      </w:r>
      <w:r w:rsidR="00B44F83">
        <w:tab/>
      </w:r>
    </w:p>
    <w:p w:rsidR="00FE021F" w:rsidRDefault="005C2029" w:rsidP="00D014FC">
      <w:pPr>
        <w:pStyle w:val="Nadpis2"/>
        <w:ind w:firstLine="708"/>
        <w:rPr>
          <w:rStyle w:val="Nadpis2Char"/>
          <w:b/>
          <w:bCs/>
        </w:rPr>
      </w:pPr>
      <w:bookmarkStart w:id="16" w:name="_Toc355097140"/>
      <w:r>
        <w:rPr>
          <w:rStyle w:val="Nadpis2Char"/>
          <w:b/>
          <w:bCs/>
        </w:rPr>
        <w:t>6</w:t>
      </w:r>
      <w:r w:rsidR="00E46113" w:rsidRPr="00906299">
        <w:rPr>
          <w:rStyle w:val="Nadpis2Char"/>
          <w:b/>
          <w:bCs/>
        </w:rPr>
        <w:t xml:space="preserve">.1 </w:t>
      </w:r>
      <w:r w:rsidR="00FE021F" w:rsidRPr="00906299">
        <w:rPr>
          <w:rStyle w:val="Nadpis2Char"/>
          <w:b/>
          <w:bCs/>
        </w:rPr>
        <w:t>OCKÚ</w:t>
      </w:r>
      <w:r w:rsidR="00FE021F" w:rsidRPr="00906299">
        <w:t xml:space="preserve"> </w:t>
      </w:r>
      <w:r w:rsidR="00E46113" w:rsidRPr="00906299">
        <w:rPr>
          <w:rStyle w:val="Nadpis2Char"/>
          <w:b/>
          <w:bCs/>
        </w:rPr>
        <w:t>OLAF</w:t>
      </w:r>
      <w:bookmarkEnd w:id="16"/>
    </w:p>
    <w:p w:rsidR="007E4B70" w:rsidRPr="007E4B70" w:rsidRDefault="007E4B70" w:rsidP="007E4B70"/>
    <w:p w:rsidR="00FE021F" w:rsidRDefault="00FE021F" w:rsidP="00FE021F">
      <w:pPr>
        <w:jc w:val="both"/>
      </w:pPr>
      <w:r w:rsidRPr="00FE021F">
        <w:t>V roku 2012 bolo na webov</w:t>
      </w:r>
      <w:r w:rsidR="007E4B70">
        <w:t xml:space="preserve">ej stránke </w:t>
      </w:r>
      <w:r w:rsidRPr="00FE021F">
        <w:t xml:space="preserve">OCKÚ OLAF zverejnených </w:t>
      </w:r>
      <w:r w:rsidRPr="00AF1A72">
        <w:rPr>
          <w:b/>
        </w:rPr>
        <w:t>1</w:t>
      </w:r>
      <w:r w:rsidR="00E46113" w:rsidRPr="00AF1A72">
        <w:rPr>
          <w:b/>
        </w:rPr>
        <w:t>3</w:t>
      </w:r>
      <w:r w:rsidRPr="00AF1A72">
        <w:rPr>
          <w:b/>
        </w:rPr>
        <w:t xml:space="preserve"> tlačových správ</w:t>
      </w:r>
      <w:r w:rsidRPr="00FE021F">
        <w:rPr>
          <w:i/>
        </w:rPr>
        <w:t xml:space="preserve"> </w:t>
      </w:r>
      <w:r w:rsidRPr="00FE021F">
        <w:t xml:space="preserve">súvisiacich s ochranou finančných záujmov Európskej únie. </w:t>
      </w:r>
      <w:r w:rsidR="00D01756">
        <w:t xml:space="preserve">Ďalej bola na webovej stránke OCKÚ OLAF </w:t>
      </w:r>
      <w:r w:rsidRPr="00FE021F">
        <w:t xml:space="preserve">zverejnená Ročná správa o nezrovnalostiach v Slovenskej republike za rok 2011, Výročná správa </w:t>
      </w:r>
      <w:proofErr w:type="spellStart"/>
      <w:r w:rsidRPr="00FE021F">
        <w:t>OLAF</w:t>
      </w:r>
      <w:r w:rsidR="00E46113">
        <w:t>-</w:t>
      </w:r>
      <w:r w:rsidRPr="00FE021F">
        <w:t>u</w:t>
      </w:r>
      <w:proofErr w:type="spellEnd"/>
      <w:r w:rsidRPr="00FE021F">
        <w:t xml:space="preserve"> o operatívnej činnosti za rok 2011 ako aj všetky aktualizované verzie strategických materiálov OCKÚ OLAF.</w:t>
      </w:r>
    </w:p>
    <w:p w:rsidR="008B45CB" w:rsidRDefault="005C2029" w:rsidP="00D014FC">
      <w:pPr>
        <w:pStyle w:val="Nadpis2"/>
        <w:ind w:firstLine="708"/>
      </w:pPr>
      <w:bookmarkStart w:id="17" w:name="_Toc355097141"/>
      <w:r>
        <w:t>6</w:t>
      </w:r>
      <w:r w:rsidR="00E46113">
        <w:t xml:space="preserve">.2 </w:t>
      </w:r>
      <w:r w:rsidR="008B45CB">
        <w:t xml:space="preserve">Ostatní </w:t>
      </w:r>
      <w:r w:rsidR="00D42502" w:rsidRPr="00D42502">
        <w:t>sieťoví partneri</w:t>
      </w:r>
      <w:bookmarkEnd w:id="17"/>
      <w:r w:rsidR="00D42502" w:rsidRPr="00D42502">
        <w:t xml:space="preserve"> </w:t>
      </w:r>
    </w:p>
    <w:p w:rsidR="00906299" w:rsidRPr="00906299" w:rsidRDefault="00906299" w:rsidP="00D014FC"/>
    <w:p w:rsidR="00A2088C" w:rsidRPr="00A549AA" w:rsidRDefault="00A2088C" w:rsidP="00A549AA">
      <w:pPr>
        <w:jc w:val="both"/>
      </w:pPr>
      <w:r w:rsidRPr="00A549AA">
        <w:t>Na webov</w:t>
      </w:r>
      <w:r w:rsidR="00BF5F51">
        <w:t xml:space="preserve">ej stránke </w:t>
      </w:r>
      <w:r w:rsidRPr="00D01756">
        <w:rPr>
          <w:b/>
        </w:rPr>
        <w:t>FS SR</w:t>
      </w:r>
      <w:r w:rsidRPr="00A549AA">
        <w:t xml:space="preserve"> sú zverejňované okrem tlačových správ vydaných OCKÚ OLAF, najmä spracované tlačové správy </w:t>
      </w:r>
      <w:proofErr w:type="spellStart"/>
      <w:r w:rsidRPr="00A549AA">
        <w:t>OLAF-u</w:t>
      </w:r>
      <w:proofErr w:type="spellEnd"/>
      <w:r w:rsidRPr="00A549AA">
        <w:t xml:space="preserve"> a</w:t>
      </w:r>
      <w:r w:rsidR="00D40333">
        <w:t> </w:t>
      </w:r>
      <w:proofErr w:type="spellStart"/>
      <w:r w:rsidRPr="00A549AA">
        <w:t>Europolu</w:t>
      </w:r>
      <w:proofErr w:type="spellEnd"/>
      <w:r w:rsidR="00D40333">
        <w:t>,</w:t>
      </w:r>
      <w:r w:rsidRPr="00A549AA">
        <w:t xml:space="preserve"> aj tlačové správy v súvislosti s odhaľovaním colných a daňových podvodov,  najmä v oblasti komodít tabaku a tabakových výrobkov, liehu a alkoholických nápojov, minerálnych olejov, omamných látok, psychotropných látok a ich prekurzorov a predaja ojazdených vozidiel zo zahraničia bez zaplatenej DPH, atď.</w:t>
      </w:r>
    </w:p>
    <w:p w:rsidR="005D5D00" w:rsidRPr="00A549AA" w:rsidRDefault="00885081" w:rsidP="00A22BD1">
      <w:pPr>
        <w:jc w:val="both"/>
      </w:pPr>
      <w:r>
        <w:rPr>
          <w:b/>
        </w:rPr>
        <w:t>MF SR (CO)</w:t>
      </w:r>
      <w:r w:rsidR="00883C31" w:rsidRPr="00A549AA">
        <w:t xml:space="preserve"> </w:t>
      </w:r>
      <w:r w:rsidR="00C247E6" w:rsidRPr="00A549AA">
        <w:t>vydával v roku 2012 pravidelné mesačné tlačové správy o stave čerpania p</w:t>
      </w:r>
      <w:r w:rsidR="00883C31" w:rsidRPr="00A549AA">
        <w:t>rostriedkov EÚ, ktoré zverejňoval</w:t>
      </w:r>
      <w:r w:rsidR="00C247E6" w:rsidRPr="00A549AA">
        <w:t xml:space="preserve"> </w:t>
      </w:r>
      <w:r w:rsidR="00BF5F51">
        <w:t xml:space="preserve">na </w:t>
      </w:r>
      <w:r w:rsidR="00C247E6" w:rsidRPr="00A549AA">
        <w:t>webovej stránke Ministerstva financií SR http://www.finance.gov.sk/Default.aspx?CatID=91. Tieto tlačové správy neobsahujú špecifické informácie k jednotlivým identifikovaným nezrovnalostiam.</w:t>
      </w:r>
    </w:p>
    <w:p w:rsidR="00BF5F51" w:rsidRDefault="00BF5F51" w:rsidP="00BF5F51">
      <w:pPr>
        <w:jc w:val="both"/>
      </w:pPr>
      <w:r w:rsidRPr="00AF1A72">
        <w:rPr>
          <w:b/>
        </w:rPr>
        <w:t>Ostatní partneri siete AFCOS</w:t>
      </w:r>
      <w:r>
        <w:t xml:space="preserve"> </w:t>
      </w:r>
      <w:r w:rsidRPr="007D52D5">
        <w:t>zverejňujú</w:t>
      </w:r>
      <w:r>
        <w:t xml:space="preserve"> na svojich webových stránkach </w:t>
      </w:r>
      <w:r w:rsidRPr="007D52D5">
        <w:t xml:space="preserve">tlačové správy vydané </w:t>
      </w:r>
      <w:r>
        <w:t>O</w:t>
      </w:r>
      <w:r w:rsidRPr="007D52D5">
        <w:t xml:space="preserve">CKÚ OLAF, najmä spracované tlačové správy </w:t>
      </w:r>
      <w:proofErr w:type="spellStart"/>
      <w:r w:rsidRPr="007D52D5">
        <w:t>OLAF</w:t>
      </w:r>
      <w:r w:rsidR="00906299">
        <w:t>-</w:t>
      </w:r>
      <w:r w:rsidRPr="007D52D5">
        <w:t>u</w:t>
      </w:r>
      <w:proofErr w:type="spellEnd"/>
      <w:r>
        <w:t xml:space="preserve">. </w:t>
      </w:r>
    </w:p>
    <w:p w:rsidR="00FA5D3A" w:rsidRDefault="00FA5D3A" w:rsidP="00BF5F51">
      <w:pPr>
        <w:jc w:val="both"/>
      </w:pPr>
    </w:p>
    <w:p w:rsidR="00FA5D3A" w:rsidRDefault="00FA5D3A" w:rsidP="00BF5F51">
      <w:pPr>
        <w:jc w:val="both"/>
      </w:pPr>
    </w:p>
    <w:p w:rsidR="00FA5D3A" w:rsidRDefault="00FA5D3A" w:rsidP="00BF5F51">
      <w:pPr>
        <w:jc w:val="both"/>
      </w:pPr>
    </w:p>
    <w:p w:rsidR="00FA5D3A" w:rsidRDefault="00FA5D3A" w:rsidP="00BF5F51">
      <w:pPr>
        <w:jc w:val="both"/>
      </w:pPr>
    </w:p>
    <w:p w:rsidR="00FA5D3A" w:rsidRDefault="00FA5D3A" w:rsidP="00BF5F51">
      <w:pPr>
        <w:jc w:val="both"/>
      </w:pPr>
    </w:p>
    <w:p w:rsidR="00FA5D3A" w:rsidRDefault="00FA5D3A" w:rsidP="00BF5F51">
      <w:pPr>
        <w:jc w:val="both"/>
      </w:pPr>
    </w:p>
    <w:p w:rsidR="00FA5D3A" w:rsidRDefault="00FA5D3A" w:rsidP="00BF5F51">
      <w:pPr>
        <w:jc w:val="both"/>
      </w:pPr>
    </w:p>
    <w:p w:rsidR="00FA5D3A" w:rsidRDefault="00FA5D3A" w:rsidP="00BF5F51">
      <w:pPr>
        <w:jc w:val="both"/>
      </w:pPr>
    </w:p>
    <w:p w:rsidR="00FA5D3A" w:rsidRDefault="00FA5D3A" w:rsidP="00BF5F51">
      <w:pPr>
        <w:jc w:val="both"/>
      </w:pPr>
    </w:p>
    <w:p w:rsidR="00FA5D3A" w:rsidRDefault="00FA5D3A" w:rsidP="00BF5F51">
      <w:pPr>
        <w:jc w:val="both"/>
      </w:pPr>
    </w:p>
    <w:p w:rsidR="00E00008" w:rsidRPr="005C2029" w:rsidRDefault="005C2029" w:rsidP="005C2029">
      <w:pPr>
        <w:pStyle w:val="Nadpis1"/>
      </w:pPr>
      <w:bookmarkStart w:id="18" w:name="_Toc355097142"/>
      <w:r w:rsidRPr="005C2029">
        <w:t>7</w:t>
      </w:r>
      <w:r w:rsidR="009C57A8" w:rsidRPr="005C2029">
        <w:t xml:space="preserve">. </w:t>
      </w:r>
      <w:r w:rsidR="00D42502" w:rsidRPr="005C2029">
        <w:t>Záver</w:t>
      </w:r>
      <w:bookmarkEnd w:id="18"/>
    </w:p>
    <w:p w:rsidR="00FE021F" w:rsidRDefault="00FE021F" w:rsidP="00E00008">
      <w:pPr>
        <w:jc w:val="both"/>
      </w:pPr>
    </w:p>
    <w:p w:rsidR="00906299" w:rsidRDefault="00B44F83" w:rsidP="00E00008">
      <w:pPr>
        <w:jc w:val="both"/>
      </w:pPr>
      <w:r>
        <w:t xml:space="preserve">Spolupráca v oblasti komunikácie so sieťovými partnermi bola v roku 2012 zintenzívnená najmä v súvislosti s obnovením činnosti </w:t>
      </w:r>
      <w:r w:rsidR="001268EE">
        <w:t xml:space="preserve">PSK </w:t>
      </w:r>
      <w:r w:rsidR="008D21C7">
        <w:t xml:space="preserve"> a vypracovaním aktualizovaného </w:t>
      </w:r>
      <w:r w:rsidR="00E8382E">
        <w:t>K</w:t>
      </w:r>
      <w:r w:rsidR="008D21C7">
        <w:t xml:space="preserve">omunikačného plánu, ktorý je jedným z </w:t>
      </w:r>
      <w:r w:rsidR="008D21C7" w:rsidRPr="008D21C7">
        <w:t xml:space="preserve">dôležitých nástrojov OCKÚ OLAF a sieťových partnerov pri plnení svojho primárneho poslania, </w:t>
      </w:r>
      <w:r w:rsidR="008D21C7">
        <w:t xml:space="preserve">ktorým je </w:t>
      </w:r>
      <w:r w:rsidR="008D21C7" w:rsidRPr="008D21C7">
        <w:t>ochran</w:t>
      </w:r>
      <w:r w:rsidR="008D21C7">
        <w:t>a</w:t>
      </w:r>
      <w:r w:rsidR="008D21C7" w:rsidRPr="008D21C7">
        <w:t xml:space="preserve"> finančných záujmov EÚ v SR a na zabezpečenie zvyšovania povedomia </w:t>
      </w:r>
      <w:r w:rsidR="004F512A">
        <w:t xml:space="preserve">verejnosti </w:t>
      </w:r>
      <w:r w:rsidR="008D21C7" w:rsidRPr="008D21C7">
        <w:t xml:space="preserve">o ochrane finančných záujmov EÚ a o činnosti OCKÚ OLAF a sieťových partnerov v tejto oblasti. </w:t>
      </w:r>
    </w:p>
    <w:p w:rsidR="00FE021F" w:rsidRDefault="00FE021F" w:rsidP="00E00008">
      <w:pPr>
        <w:jc w:val="both"/>
      </w:pPr>
      <w:r w:rsidRPr="00FE021F">
        <w:t xml:space="preserve">V rámci vyššej propagácie činnosti Slovenskej republiky v oblasti boja proti podvodom na ochranu rozpočtu Európskej únie v Slovenskej republike </w:t>
      </w:r>
      <w:r w:rsidR="0008044A">
        <w:t>je zámerom vydať  </w:t>
      </w:r>
      <w:r w:rsidR="002E5036">
        <w:t xml:space="preserve">v spolupráci so sieťovými partnermi </w:t>
      </w:r>
      <w:r w:rsidRPr="00FE021F">
        <w:t xml:space="preserve">nové informačné a propagačné materiály pre oblasť ochrany finančných záujmov EÚ a boja proti podvodom páchaným na rozpočte Európskej únie. </w:t>
      </w:r>
    </w:p>
    <w:p w:rsidR="00FE021F" w:rsidRPr="00FE021F" w:rsidRDefault="00FE021F" w:rsidP="00E00008">
      <w:pPr>
        <w:jc w:val="both"/>
      </w:pPr>
      <w:r w:rsidRPr="00FE021F">
        <w:t xml:space="preserve">V rámci komunikačného plánu sú naplánované viaceré </w:t>
      </w:r>
      <w:r w:rsidR="00630D68">
        <w:t xml:space="preserve">nové spoločné </w:t>
      </w:r>
      <w:r w:rsidRPr="00FE021F">
        <w:t>komunikačné aktivity</w:t>
      </w:r>
      <w:r w:rsidR="00001CEB">
        <w:t>, ktor</w:t>
      </w:r>
      <w:r w:rsidR="00906299">
        <w:t>ých</w:t>
      </w:r>
      <w:r w:rsidR="00001CEB">
        <w:t xml:space="preserve"> </w:t>
      </w:r>
      <w:r w:rsidR="007038AF">
        <w:t xml:space="preserve">realizácia </w:t>
      </w:r>
      <w:r w:rsidR="00001CEB">
        <w:t>bud</w:t>
      </w:r>
      <w:r w:rsidR="007038AF">
        <w:t>e</w:t>
      </w:r>
      <w:r w:rsidR="00001CEB">
        <w:t xml:space="preserve"> zabezpečovan</w:t>
      </w:r>
      <w:r w:rsidR="007038AF">
        <w:t>á</w:t>
      </w:r>
      <w:r w:rsidR="00001CEB">
        <w:t xml:space="preserve"> prostredníctvom </w:t>
      </w:r>
      <w:r w:rsidR="00001CEB" w:rsidRPr="00AF1A72">
        <w:t xml:space="preserve">činnosti </w:t>
      </w:r>
      <w:r w:rsidR="001268EE">
        <w:t>PSK</w:t>
      </w:r>
      <w:r w:rsidR="00001CEB" w:rsidRPr="00AF1A72">
        <w:t xml:space="preserve"> zriadenej pod R</w:t>
      </w:r>
      <w:r w:rsidR="00906299">
        <w:t>iadiacim výborom</w:t>
      </w:r>
      <w:r w:rsidR="0008044A">
        <w:t xml:space="preserve">. </w:t>
      </w:r>
    </w:p>
    <w:p w:rsidR="00FE021F" w:rsidRPr="00FE021F" w:rsidRDefault="00A32F62" w:rsidP="008E4B8E">
      <w:pPr>
        <w:jc w:val="both"/>
      </w:pPr>
      <w:r w:rsidRPr="00A32F62">
        <w:t xml:space="preserve">Ochrana finančných záujmov EÚ v Slovenskej republike je trvalá úloha. </w:t>
      </w:r>
      <w:r>
        <w:t>Ú</w:t>
      </w:r>
      <w:r w:rsidRPr="00A32F62">
        <w:t xml:space="preserve">spešné plnenie tejto úlohy závisí od účinnosti a úspechu boja proti podvodom. To je možné dosiahnuť spojením úsilia </w:t>
      </w:r>
      <w:r>
        <w:t xml:space="preserve">orgánov zaoberajúcich sa ochranou finančných záujmov Európskej únie v Slovenskej republike </w:t>
      </w:r>
      <w:r w:rsidRPr="00A32F62">
        <w:t xml:space="preserve">a občanov, zlepšením </w:t>
      </w:r>
      <w:r>
        <w:t xml:space="preserve">ich </w:t>
      </w:r>
      <w:r w:rsidRPr="00A32F62">
        <w:t xml:space="preserve">informovanosti o podstate, príčinách a následkoch podvodov. </w:t>
      </w:r>
    </w:p>
    <w:sectPr w:rsidR="00FE021F" w:rsidRPr="00FE021F" w:rsidSect="000905BE">
      <w:footerReference w:type="defaul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F09" w:rsidRDefault="006C7F09" w:rsidP="00513701">
      <w:pPr>
        <w:spacing w:after="0" w:line="240" w:lineRule="auto"/>
      </w:pPr>
      <w:r>
        <w:separator/>
      </w:r>
    </w:p>
  </w:endnote>
  <w:endnote w:type="continuationSeparator" w:id="0">
    <w:p w:rsidR="006C7F09" w:rsidRDefault="006C7F09" w:rsidP="00513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263276">
      <w:tc>
        <w:tcPr>
          <w:tcW w:w="918" w:type="dxa"/>
        </w:tcPr>
        <w:p w:rsidR="00263276" w:rsidRDefault="00263276">
          <w:pPr>
            <w:pStyle w:val="Pta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523B14" w:rsidRPr="00523B14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13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263276" w:rsidRDefault="00263276">
          <w:pPr>
            <w:pStyle w:val="Pta"/>
          </w:pPr>
        </w:p>
      </w:tc>
    </w:tr>
  </w:tbl>
  <w:p w:rsidR="00263276" w:rsidRDefault="0026327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F09" w:rsidRDefault="006C7F09" w:rsidP="00513701">
      <w:pPr>
        <w:spacing w:after="0" w:line="240" w:lineRule="auto"/>
      </w:pPr>
      <w:r>
        <w:separator/>
      </w:r>
    </w:p>
  </w:footnote>
  <w:footnote w:type="continuationSeparator" w:id="0">
    <w:p w:rsidR="006C7F09" w:rsidRDefault="006C7F09" w:rsidP="00513701">
      <w:pPr>
        <w:spacing w:after="0" w:line="240" w:lineRule="auto"/>
      </w:pPr>
      <w:r>
        <w:continuationSeparator/>
      </w:r>
    </w:p>
  </w:footnote>
  <w:footnote w:id="1">
    <w:p w:rsidR="00263276" w:rsidRPr="0023226F" w:rsidRDefault="00263276" w:rsidP="007768E3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3226F">
        <w:t xml:space="preserve">S cieľom zabezpečiť plnenie povinností, ktoré Slovenskej republike vyplývajú z článku 325 Zmluvy o fungovaní Európskej únie, a to prijímanie potrebných opatrení s cieľom zabezpečiť finančným záujmom Európskej únie rovnako dôslednú ochranu, akú Slovenská republika poskytuje svojim vlastným finančným záujmom, OCKÚ OLAF implementuje a pravidelne reviduje </w:t>
      </w:r>
      <w:r w:rsidRPr="0023226F">
        <w:rPr>
          <w:b/>
        </w:rPr>
        <w:t xml:space="preserve">Národnú stratégiu ochrany finančných záujmov Európskej únie v Slovenskej republike </w:t>
      </w:r>
      <w:r>
        <w:rPr>
          <w:b/>
        </w:rPr>
        <w:t xml:space="preserve">(ďalej aj „národná stratégia“) </w:t>
      </w:r>
      <w:r w:rsidRPr="0023226F">
        <w:t>schválenú vládou SR uznesením vlády SR č. 547 z 27. júna 2007.</w:t>
      </w:r>
      <w:r>
        <w:t xml:space="preserve"> Súčasťou národnej stratégie je aj Manuál spolupráce partnerov siete AFCOS a Manuál nahlasovania nezro</w:t>
      </w:r>
      <w:r w:rsidR="0097198E">
        <w:t>vnalostí vrátane formulárov a </w:t>
      </w:r>
      <w:proofErr w:type="spellStart"/>
      <w:r w:rsidR="0097198E">
        <w:t>kó</w:t>
      </w:r>
      <w:r>
        <w:t>dovníka</w:t>
      </w:r>
      <w:proofErr w:type="spellEnd"/>
      <w:r>
        <w:t xml:space="preserve"> nezrovnalostí. </w:t>
      </w:r>
    </w:p>
    <w:p w:rsidR="00263276" w:rsidRDefault="00263276">
      <w:pPr>
        <w:pStyle w:val="Textpoznmkypodiarou"/>
      </w:pPr>
    </w:p>
  </w:footnote>
  <w:footnote w:id="2">
    <w:p w:rsidR="00263276" w:rsidRPr="000F7BDC" w:rsidRDefault="00263276" w:rsidP="00097575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CF4D2A">
        <w:t xml:space="preserve">Sieť AFCOS </w:t>
      </w:r>
      <w:r>
        <w:t xml:space="preserve">(sieťoví partneri) </w:t>
      </w:r>
      <w:r w:rsidRPr="00CF4D2A">
        <w:t xml:space="preserve">v Slovenskej republike pozostáva z orgánov a inštitúcií, ktoré poskytujú prostriedky Európskej únie a iným spôsobom s týmito prostriedkami narábajú, sú príslušné kontrolovať zaobchádzanie s týmito prostriedkami a je im zverená právomoc plniť úlohy týkajúce sa ochrany finančných záujmov EÚ. Sieťovými partnermi v SR sú ústredné orgány štátnej správy, </w:t>
      </w:r>
      <w:r>
        <w:t xml:space="preserve">Úrad vlády SR, Úrad pre verejné obstarávanie, Najvyšší kontrolný úrad SR, FS SR, </w:t>
      </w:r>
      <w:r w:rsidRPr="00CF4D2A">
        <w:t>G</w:t>
      </w:r>
      <w:r>
        <w:t xml:space="preserve">enerálna prokuratúra </w:t>
      </w:r>
      <w:r w:rsidRPr="00CF4D2A">
        <w:t xml:space="preserve">SR, </w:t>
      </w:r>
      <w:r>
        <w:t>Národná banka Slovenska</w:t>
      </w:r>
      <w:r w:rsidRPr="00CF4D2A">
        <w:t xml:space="preserve">, </w:t>
      </w:r>
      <w:r>
        <w:t>Bratislavský samosprávny kraj</w:t>
      </w:r>
      <w:r w:rsidRPr="00CF4D2A">
        <w:t xml:space="preserve"> a</w:t>
      </w:r>
      <w:r>
        <w:t> </w:t>
      </w:r>
      <w:r w:rsidRPr="00CF4D2A">
        <w:t>S</w:t>
      </w:r>
      <w:r>
        <w:t>lovenská informačná služba</w:t>
      </w:r>
      <w:r w:rsidRPr="00CF4D2A">
        <w:t>.</w:t>
      </w:r>
      <w:r>
        <w:t xml:space="preserve"> </w:t>
      </w:r>
    </w:p>
    <w:p w:rsidR="00263276" w:rsidRDefault="00263276">
      <w:pPr>
        <w:pStyle w:val="Textpoznmkypodiarou"/>
      </w:pPr>
    </w:p>
  </w:footnote>
  <w:footnote w:id="3">
    <w:p w:rsidR="00263276" w:rsidRDefault="0026327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EC6F5B">
        <w:rPr>
          <w:b/>
        </w:rPr>
        <w:t>Fondmi Európskej únie</w:t>
      </w:r>
      <w:r w:rsidRPr="00092260">
        <w:t xml:space="preserve"> sa rozumejú Európsky fond regionálneho rozvoja, Európsky sociálny fond, Kohézny fond, Európsky fond pre rybné hospodárstvo, Európsky poľnohospodársky fond pre rozvoj vidieka a Európsky poľnohospodársky záručný fond.</w:t>
      </w:r>
    </w:p>
  </w:footnote>
  <w:footnote w:id="4">
    <w:p w:rsidR="00263276" w:rsidRPr="008F212A" w:rsidRDefault="00263276" w:rsidP="0008044A">
      <w:pPr>
        <w:jc w:val="both"/>
        <w:rPr>
          <w:sz w:val="20"/>
          <w:szCs w:val="20"/>
        </w:rPr>
      </w:pPr>
      <w:r>
        <w:rPr>
          <w:rStyle w:val="Odkaznapoznmkupodiarou"/>
        </w:rPr>
        <w:footnoteRef/>
      </w:r>
      <w:r>
        <w:t xml:space="preserve"> </w:t>
      </w:r>
      <w:r w:rsidRPr="0008044A">
        <w:rPr>
          <w:b/>
          <w:sz w:val="20"/>
          <w:szCs w:val="20"/>
        </w:rPr>
        <w:t>Nezrovnalosť</w:t>
      </w:r>
      <w:r w:rsidRPr="008F212A">
        <w:rPr>
          <w:sz w:val="20"/>
          <w:szCs w:val="20"/>
        </w:rPr>
        <w:t xml:space="preserve"> znamená akékoľvek porušenie ustanovenia práva Európskej únie vyplývajúce z konania alebo opomenutia hospodárskeho subjektu, dôsledkom čoho je alebo by bolo poškodenie všeobecného rozpočtu Únie alebo rozpočtov ňou spravovaných, buď zmenšením, alebo stratou výnosov plynúcich z vlastných zdrojov vyberaných priamo v mene Únie alebo neoprávnenou výdavkovou položkou. Porušením ustanovenia práva Európskej únie sa v tomto prípade rozumie aj porušenie vnútroštátnych právnych predpisov Slovenskej republiky, medzinárodných dohovorov a príslušných zmlúv. Porušenie môže byť spôsobené vedomým konaním alebo nekonaním alebo z nedbanlivosti. Nezrovnalosťou môže byť aj podozrenie z podvodu, systémová nezrovnalosť a ďalšie nedostatky.</w:t>
      </w:r>
    </w:p>
    <w:p w:rsidR="00263276" w:rsidRDefault="00263276">
      <w:pPr>
        <w:pStyle w:val="Textpoznmkypodiarou"/>
      </w:pPr>
    </w:p>
  </w:footnote>
  <w:footnote w:id="5">
    <w:p w:rsidR="00263276" w:rsidRPr="00537D14" w:rsidRDefault="00263276" w:rsidP="007E323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537D14">
        <w:t>Rozhodnutím Európskeho parlamentu a Rady EÚ bol zriadený akčný program HERCULE II na podporu činností v oblasti ochrany finančných záujmov spoločenstva, prostredníctvom ktorého sa podporujú aktivity, ktorých cieľom je, aby Európska únia bola efektívnejšia v prevencii a boji proti podvodom poškodzujúcim finančné záujmy vrátane pašovania a falšovania cigariet. Program HERCULE II spravuje OLAF.</w:t>
      </w:r>
    </w:p>
    <w:p w:rsidR="00263276" w:rsidRPr="00537D14" w:rsidRDefault="00263276" w:rsidP="007E3234">
      <w:pPr>
        <w:pStyle w:val="Textpoznmkypodiarou"/>
        <w:jc w:val="both"/>
      </w:pPr>
      <w:r>
        <w:t>V</w:t>
      </w:r>
      <w:r w:rsidRPr="00537D14">
        <w:t xml:space="preserve"> rámci programového obdobia 2007 až 2013 </w:t>
      </w:r>
      <w:r>
        <w:t xml:space="preserve">bola táto podpora </w:t>
      </w:r>
      <w:r w:rsidRPr="00537D14">
        <w:t>schválená s finančnou obálkou 98,5 mil. EUR, s priemerným ročným rozpočtom 14 mil. EUR. Program sa vykonáva najmä formou technickej pomoci vnútroštátnym orgánom prostredníctvom poskytovania konkrétnych znalostí vybavenia a nástrojov finančných technológií, ktoré uľahčujú nadnárodnú spoluprácu, spoluprácu s </w:t>
      </w:r>
      <w:proofErr w:type="spellStart"/>
      <w:r w:rsidRPr="00537D14">
        <w:t>OLAF</w:t>
      </w:r>
      <w:r>
        <w:t>-om</w:t>
      </w:r>
      <w:proofErr w:type="spellEnd"/>
      <w:r w:rsidRPr="00537D14">
        <w:t>, takisto podporu spoločných operácií a podporu výmeny zamestnancov, formou odbornej prípravy, seminárov a konferencií zameraných na podporu lepšieho pochopenia mechanizmov EÚ a vnútroštátnych mechanizmov a výmenu skúseností medzi príslušnými orgánmi členských štátov. Výz</w:t>
      </w:r>
      <w:r>
        <w:t>vy</w:t>
      </w:r>
      <w:r w:rsidRPr="00537D14">
        <w:t xml:space="preserve"> sú uver</w:t>
      </w:r>
      <w:r>
        <w:t>e</w:t>
      </w:r>
      <w:r w:rsidRPr="00537D14">
        <w:t xml:space="preserve">jňované na </w:t>
      </w:r>
      <w:r>
        <w:t xml:space="preserve">webovej </w:t>
      </w:r>
      <w:r w:rsidRPr="00537D14">
        <w:t xml:space="preserve">stránke </w:t>
      </w:r>
      <w:proofErr w:type="spellStart"/>
      <w:r w:rsidRPr="00537D14">
        <w:t>OLAF</w:t>
      </w:r>
      <w:r>
        <w:t>-</w:t>
      </w:r>
      <w:r w:rsidRPr="00537D14">
        <w:t>u</w:t>
      </w:r>
      <w:proofErr w:type="spellEnd"/>
      <w:r w:rsidRPr="00537D14">
        <w:t xml:space="preserve">. </w:t>
      </w:r>
    </w:p>
    <w:p w:rsidR="00263276" w:rsidRDefault="00263276" w:rsidP="00001CEB">
      <w:pPr>
        <w:pStyle w:val="Textpoznmkypodi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29A7"/>
    <w:multiLevelType w:val="hybridMultilevel"/>
    <w:tmpl w:val="6BF4FE5C"/>
    <w:lvl w:ilvl="0" w:tplc="9E546444">
      <w:numFmt w:val="bullet"/>
      <w:lvlText w:val="-"/>
      <w:lvlJc w:val="left"/>
      <w:pPr>
        <w:ind w:left="900" w:hanging="360"/>
      </w:pPr>
      <w:rPr>
        <w:rFonts w:ascii="Times New Roman" w:hAnsi="Times New Roman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01C6C"/>
    <w:multiLevelType w:val="hybridMultilevel"/>
    <w:tmpl w:val="7A6E620C"/>
    <w:lvl w:ilvl="0" w:tplc="D87452EC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90A23"/>
    <w:multiLevelType w:val="hybridMultilevel"/>
    <w:tmpl w:val="3666539A"/>
    <w:lvl w:ilvl="0" w:tplc="195411B8">
      <w:start w:val="90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1391E"/>
    <w:multiLevelType w:val="hybridMultilevel"/>
    <w:tmpl w:val="AF12B70A"/>
    <w:lvl w:ilvl="0" w:tplc="041B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F4366"/>
    <w:multiLevelType w:val="hybridMultilevel"/>
    <w:tmpl w:val="42DEC7BE"/>
    <w:lvl w:ilvl="0" w:tplc="E16C9994">
      <w:start w:val="90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63B51"/>
    <w:multiLevelType w:val="hybridMultilevel"/>
    <w:tmpl w:val="7F183194"/>
    <w:lvl w:ilvl="0" w:tplc="5E94B85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9A7856"/>
    <w:multiLevelType w:val="hybridMultilevel"/>
    <w:tmpl w:val="827438FC"/>
    <w:lvl w:ilvl="0" w:tplc="B3AAF44A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15ABE"/>
    <w:multiLevelType w:val="hybridMultilevel"/>
    <w:tmpl w:val="554836E0"/>
    <w:lvl w:ilvl="0" w:tplc="041B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C11C23"/>
    <w:multiLevelType w:val="hybridMultilevel"/>
    <w:tmpl w:val="352AE724"/>
    <w:lvl w:ilvl="0" w:tplc="15E2DB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2564FB"/>
    <w:multiLevelType w:val="hybridMultilevel"/>
    <w:tmpl w:val="9110A68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791A3E"/>
    <w:multiLevelType w:val="hybridMultilevel"/>
    <w:tmpl w:val="285248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FB7BF5"/>
    <w:multiLevelType w:val="hybridMultilevel"/>
    <w:tmpl w:val="564636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91AEA"/>
    <w:multiLevelType w:val="hybridMultilevel"/>
    <w:tmpl w:val="7B888844"/>
    <w:lvl w:ilvl="0" w:tplc="88D8463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055F0"/>
    <w:multiLevelType w:val="hybridMultilevel"/>
    <w:tmpl w:val="BDE0C7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F2D0A"/>
    <w:multiLevelType w:val="multilevel"/>
    <w:tmpl w:val="5008D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1D81B56"/>
    <w:multiLevelType w:val="hybridMultilevel"/>
    <w:tmpl w:val="9794B0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A2F78"/>
    <w:multiLevelType w:val="hybridMultilevel"/>
    <w:tmpl w:val="B914E158"/>
    <w:lvl w:ilvl="0" w:tplc="A8EC035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12698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12862B7"/>
    <w:multiLevelType w:val="hybridMultilevel"/>
    <w:tmpl w:val="BD1A42CE"/>
    <w:lvl w:ilvl="0" w:tplc="10BC6032">
      <w:start w:val="2"/>
      <w:numFmt w:val="bullet"/>
      <w:lvlText w:val="-"/>
      <w:lvlJc w:val="left"/>
      <w:pPr>
        <w:ind w:left="600" w:hanging="360"/>
      </w:pPr>
      <w:rPr>
        <w:rFonts w:ascii="Verdana" w:eastAsia="Times New Roman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>
    <w:nsid w:val="7FB04799"/>
    <w:multiLevelType w:val="hybridMultilevel"/>
    <w:tmpl w:val="ADF4F4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"/>
  </w:num>
  <w:num w:numId="5">
    <w:abstractNumId w:val="6"/>
  </w:num>
  <w:num w:numId="6">
    <w:abstractNumId w:val="18"/>
  </w:num>
  <w:num w:numId="7">
    <w:abstractNumId w:val="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4"/>
  </w:num>
  <w:num w:numId="11">
    <w:abstractNumId w:val="3"/>
  </w:num>
  <w:num w:numId="12">
    <w:abstractNumId w:val="7"/>
  </w:num>
  <w:num w:numId="13">
    <w:abstractNumId w:val="8"/>
  </w:num>
  <w:num w:numId="14">
    <w:abstractNumId w:val="19"/>
  </w:num>
  <w:num w:numId="15">
    <w:abstractNumId w:val="12"/>
  </w:num>
  <w:num w:numId="16">
    <w:abstractNumId w:val="11"/>
  </w:num>
  <w:num w:numId="17">
    <w:abstractNumId w:val="5"/>
  </w:num>
  <w:num w:numId="18">
    <w:abstractNumId w:val="0"/>
  </w:num>
  <w:num w:numId="19">
    <w:abstractNumId w:val="1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4C"/>
    <w:rsid w:val="00001CEB"/>
    <w:rsid w:val="00005FE1"/>
    <w:rsid w:val="00011BC3"/>
    <w:rsid w:val="000136BB"/>
    <w:rsid w:val="00020D92"/>
    <w:rsid w:val="00025FBC"/>
    <w:rsid w:val="00037759"/>
    <w:rsid w:val="000434EC"/>
    <w:rsid w:val="000504CE"/>
    <w:rsid w:val="00053E89"/>
    <w:rsid w:val="00054796"/>
    <w:rsid w:val="00054C20"/>
    <w:rsid w:val="00054D30"/>
    <w:rsid w:val="0006587F"/>
    <w:rsid w:val="00066077"/>
    <w:rsid w:val="00066146"/>
    <w:rsid w:val="00072272"/>
    <w:rsid w:val="0008044A"/>
    <w:rsid w:val="00084F59"/>
    <w:rsid w:val="000905BE"/>
    <w:rsid w:val="00092260"/>
    <w:rsid w:val="00096211"/>
    <w:rsid w:val="00097575"/>
    <w:rsid w:val="000A34BC"/>
    <w:rsid w:val="000B14AC"/>
    <w:rsid w:val="000B6AE2"/>
    <w:rsid w:val="000B7851"/>
    <w:rsid w:val="000C243A"/>
    <w:rsid w:val="000C5DFC"/>
    <w:rsid w:val="000C6752"/>
    <w:rsid w:val="000E5E8E"/>
    <w:rsid w:val="000F30F0"/>
    <w:rsid w:val="000F67B6"/>
    <w:rsid w:val="000F7BDC"/>
    <w:rsid w:val="00106323"/>
    <w:rsid w:val="00110A59"/>
    <w:rsid w:val="001268EE"/>
    <w:rsid w:val="00131A8B"/>
    <w:rsid w:val="00133137"/>
    <w:rsid w:val="00134F09"/>
    <w:rsid w:val="00136DA6"/>
    <w:rsid w:val="001405CA"/>
    <w:rsid w:val="00142483"/>
    <w:rsid w:val="00144D31"/>
    <w:rsid w:val="00146753"/>
    <w:rsid w:val="0015174D"/>
    <w:rsid w:val="00156470"/>
    <w:rsid w:val="0016107E"/>
    <w:rsid w:val="00164AA3"/>
    <w:rsid w:val="0017085F"/>
    <w:rsid w:val="00175C89"/>
    <w:rsid w:val="00185FD0"/>
    <w:rsid w:val="00190686"/>
    <w:rsid w:val="001C31C8"/>
    <w:rsid w:val="001D2752"/>
    <w:rsid w:val="001D3ED8"/>
    <w:rsid w:val="001D4300"/>
    <w:rsid w:val="001E2300"/>
    <w:rsid w:val="001E764E"/>
    <w:rsid w:val="001F7059"/>
    <w:rsid w:val="00207601"/>
    <w:rsid w:val="002104F0"/>
    <w:rsid w:val="0023226F"/>
    <w:rsid w:val="0025694D"/>
    <w:rsid w:val="00263276"/>
    <w:rsid w:val="00267E0C"/>
    <w:rsid w:val="00275F36"/>
    <w:rsid w:val="0027770C"/>
    <w:rsid w:val="00281C10"/>
    <w:rsid w:val="00286816"/>
    <w:rsid w:val="002A41C7"/>
    <w:rsid w:val="002C716F"/>
    <w:rsid w:val="002D1B65"/>
    <w:rsid w:val="002D430F"/>
    <w:rsid w:val="002E355F"/>
    <w:rsid w:val="002E5036"/>
    <w:rsid w:val="002F276F"/>
    <w:rsid w:val="002F4F74"/>
    <w:rsid w:val="002F7999"/>
    <w:rsid w:val="0030080F"/>
    <w:rsid w:val="00301CA8"/>
    <w:rsid w:val="00303359"/>
    <w:rsid w:val="00310E80"/>
    <w:rsid w:val="00322828"/>
    <w:rsid w:val="0032530D"/>
    <w:rsid w:val="003255CA"/>
    <w:rsid w:val="0033309E"/>
    <w:rsid w:val="0035245F"/>
    <w:rsid w:val="00354898"/>
    <w:rsid w:val="00355C3D"/>
    <w:rsid w:val="00363C4B"/>
    <w:rsid w:val="003713E2"/>
    <w:rsid w:val="00372082"/>
    <w:rsid w:val="003A3691"/>
    <w:rsid w:val="003A6317"/>
    <w:rsid w:val="003A64C8"/>
    <w:rsid w:val="003A6C69"/>
    <w:rsid w:val="003B320D"/>
    <w:rsid w:val="003B46A0"/>
    <w:rsid w:val="003B4D34"/>
    <w:rsid w:val="003C79EC"/>
    <w:rsid w:val="003D214B"/>
    <w:rsid w:val="003E472F"/>
    <w:rsid w:val="003F4A41"/>
    <w:rsid w:val="003F68A3"/>
    <w:rsid w:val="003F72F0"/>
    <w:rsid w:val="00410902"/>
    <w:rsid w:val="004128ED"/>
    <w:rsid w:val="00423976"/>
    <w:rsid w:val="0042747B"/>
    <w:rsid w:val="0043208E"/>
    <w:rsid w:val="0044066E"/>
    <w:rsid w:val="00454717"/>
    <w:rsid w:val="00454DAC"/>
    <w:rsid w:val="004565BE"/>
    <w:rsid w:val="00466970"/>
    <w:rsid w:val="00470500"/>
    <w:rsid w:val="00470F6E"/>
    <w:rsid w:val="0048028F"/>
    <w:rsid w:val="00496BC6"/>
    <w:rsid w:val="004A0447"/>
    <w:rsid w:val="004A34DC"/>
    <w:rsid w:val="004A7082"/>
    <w:rsid w:val="004A7999"/>
    <w:rsid w:val="004E012B"/>
    <w:rsid w:val="004E3D10"/>
    <w:rsid w:val="004E7057"/>
    <w:rsid w:val="004F21C7"/>
    <w:rsid w:val="004F3046"/>
    <w:rsid w:val="004F512A"/>
    <w:rsid w:val="004F7D4E"/>
    <w:rsid w:val="005122DB"/>
    <w:rsid w:val="00513701"/>
    <w:rsid w:val="005163A9"/>
    <w:rsid w:val="0052190A"/>
    <w:rsid w:val="00523B14"/>
    <w:rsid w:val="0052468E"/>
    <w:rsid w:val="00533FD7"/>
    <w:rsid w:val="00534D6A"/>
    <w:rsid w:val="00535BCB"/>
    <w:rsid w:val="00537FF6"/>
    <w:rsid w:val="005407FA"/>
    <w:rsid w:val="00540DF1"/>
    <w:rsid w:val="00542711"/>
    <w:rsid w:val="005439E3"/>
    <w:rsid w:val="00543FD0"/>
    <w:rsid w:val="00560747"/>
    <w:rsid w:val="0057253F"/>
    <w:rsid w:val="0058493D"/>
    <w:rsid w:val="00593B67"/>
    <w:rsid w:val="00596E25"/>
    <w:rsid w:val="005A4499"/>
    <w:rsid w:val="005B203B"/>
    <w:rsid w:val="005B59C1"/>
    <w:rsid w:val="005C2029"/>
    <w:rsid w:val="005C74E7"/>
    <w:rsid w:val="005C7D3F"/>
    <w:rsid w:val="005D11D8"/>
    <w:rsid w:val="005D5B06"/>
    <w:rsid w:val="005D5D00"/>
    <w:rsid w:val="005E377C"/>
    <w:rsid w:val="005F174C"/>
    <w:rsid w:val="00602553"/>
    <w:rsid w:val="0060290A"/>
    <w:rsid w:val="00604C26"/>
    <w:rsid w:val="00605AD5"/>
    <w:rsid w:val="006115A4"/>
    <w:rsid w:val="006136B2"/>
    <w:rsid w:val="006218FC"/>
    <w:rsid w:val="0062322F"/>
    <w:rsid w:val="00630D68"/>
    <w:rsid w:val="00631578"/>
    <w:rsid w:val="006343E1"/>
    <w:rsid w:val="006448EF"/>
    <w:rsid w:val="00646428"/>
    <w:rsid w:val="00651CD1"/>
    <w:rsid w:val="00662C3B"/>
    <w:rsid w:val="006808BC"/>
    <w:rsid w:val="006811A3"/>
    <w:rsid w:val="00681725"/>
    <w:rsid w:val="00686E17"/>
    <w:rsid w:val="006A2112"/>
    <w:rsid w:val="006A5402"/>
    <w:rsid w:val="006C2F1F"/>
    <w:rsid w:val="006C7F09"/>
    <w:rsid w:val="006D46DA"/>
    <w:rsid w:val="006F0412"/>
    <w:rsid w:val="00700B90"/>
    <w:rsid w:val="007029E3"/>
    <w:rsid w:val="007038AF"/>
    <w:rsid w:val="00711C2D"/>
    <w:rsid w:val="00713903"/>
    <w:rsid w:val="00730A12"/>
    <w:rsid w:val="00753C33"/>
    <w:rsid w:val="00755E8F"/>
    <w:rsid w:val="0077559B"/>
    <w:rsid w:val="00776474"/>
    <w:rsid w:val="007768E3"/>
    <w:rsid w:val="00777E39"/>
    <w:rsid w:val="00793446"/>
    <w:rsid w:val="007A248F"/>
    <w:rsid w:val="007C090F"/>
    <w:rsid w:val="007D52D5"/>
    <w:rsid w:val="007E12F2"/>
    <w:rsid w:val="007E3234"/>
    <w:rsid w:val="007E4961"/>
    <w:rsid w:val="007E4B70"/>
    <w:rsid w:val="007F2FB3"/>
    <w:rsid w:val="007F3040"/>
    <w:rsid w:val="007F4A4C"/>
    <w:rsid w:val="008009DF"/>
    <w:rsid w:val="00801C6D"/>
    <w:rsid w:val="008076D8"/>
    <w:rsid w:val="008217CB"/>
    <w:rsid w:val="008340B8"/>
    <w:rsid w:val="008438AC"/>
    <w:rsid w:val="00844576"/>
    <w:rsid w:val="0085258C"/>
    <w:rsid w:val="0085316E"/>
    <w:rsid w:val="00855D02"/>
    <w:rsid w:val="00860B20"/>
    <w:rsid w:val="00883C31"/>
    <w:rsid w:val="00885081"/>
    <w:rsid w:val="00885FD9"/>
    <w:rsid w:val="008876C0"/>
    <w:rsid w:val="008905CA"/>
    <w:rsid w:val="008A73B6"/>
    <w:rsid w:val="008B0E1A"/>
    <w:rsid w:val="008B1F8A"/>
    <w:rsid w:val="008B45CB"/>
    <w:rsid w:val="008C2B52"/>
    <w:rsid w:val="008C5F5A"/>
    <w:rsid w:val="008C6BE7"/>
    <w:rsid w:val="008D1062"/>
    <w:rsid w:val="008D21C7"/>
    <w:rsid w:val="008E2BD9"/>
    <w:rsid w:val="008E322E"/>
    <w:rsid w:val="008E4B8E"/>
    <w:rsid w:val="008E55C1"/>
    <w:rsid w:val="008E749E"/>
    <w:rsid w:val="008F212A"/>
    <w:rsid w:val="009030C1"/>
    <w:rsid w:val="00906299"/>
    <w:rsid w:val="009125D7"/>
    <w:rsid w:val="009163EE"/>
    <w:rsid w:val="00916A33"/>
    <w:rsid w:val="0091783A"/>
    <w:rsid w:val="00920088"/>
    <w:rsid w:val="009201FF"/>
    <w:rsid w:val="00921FDC"/>
    <w:rsid w:val="00924A99"/>
    <w:rsid w:val="00925D28"/>
    <w:rsid w:val="00926162"/>
    <w:rsid w:val="009417BB"/>
    <w:rsid w:val="00946466"/>
    <w:rsid w:val="00947A86"/>
    <w:rsid w:val="00960A2A"/>
    <w:rsid w:val="00962C7F"/>
    <w:rsid w:val="00970FCF"/>
    <w:rsid w:val="0097198E"/>
    <w:rsid w:val="00973DAD"/>
    <w:rsid w:val="00973F8A"/>
    <w:rsid w:val="00974A46"/>
    <w:rsid w:val="0098519A"/>
    <w:rsid w:val="00994444"/>
    <w:rsid w:val="009A1777"/>
    <w:rsid w:val="009A49AE"/>
    <w:rsid w:val="009A7E76"/>
    <w:rsid w:val="009B038A"/>
    <w:rsid w:val="009C0F33"/>
    <w:rsid w:val="009C0F53"/>
    <w:rsid w:val="009C1946"/>
    <w:rsid w:val="009C27A2"/>
    <w:rsid w:val="009C57A8"/>
    <w:rsid w:val="009E4903"/>
    <w:rsid w:val="009E7BE8"/>
    <w:rsid w:val="009F1616"/>
    <w:rsid w:val="00A17E38"/>
    <w:rsid w:val="00A2031C"/>
    <w:rsid w:val="00A2088C"/>
    <w:rsid w:val="00A22BD1"/>
    <w:rsid w:val="00A32F62"/>
    <w:rsid w:val="00A333BE"/>
    <w:rsid w:val="00A37CDD"/>
    <w:rsid w:val="00A42BDF"/>
    <w:rsid w:val="00A44ECE"/>
    <w:rsid w:val="00A52ABE"/>
    <w:rsid w:val="00A52C59"/>
    <w:rsid w:val="00A549AA"/>
    <w:rsid w:val="00A62089"/>
    <w:rsid w:val="00A63102"/>
    <w:rsid w:val="00A7215C"/>
    <w:rsid w:val="00A940C4"/>
    <w:rsid w:val="00AA6CB6"/>
    <w:rsid w:val="00AA73BE"/>
    <w:rsid w:val="00AB4A7D"/>
    <w:rsid w:val="00AB6917"/>
    <w:rsid w:val="00AC1FBF"/>
    <w:rsid w:val="00AC48AF"/>
    <w:rsid w:val="00AE34B0"/>
    <w:rsid w:val="00AF07E1"/>
    <w:rsid w:val="00AF1A72"/>
    <w:rsid w:val="00AF2520"/>
    <w:rsid w:val="00B03953"/>
    <w:rsid w:val="00B03C80"/>
    <w:rsid w:val="00B0412E"/>
    <w:rsid w:val="00B06F41"/>
    <w:rsid w:val="00B240E1"/>
    <w:rsid w:val="00B3197B"/>
    <w:rsid w:val="00B42068"/>
    <w:rsid w:val="00B439A4"/>
    <w:rsid w:val="00B44F83"/>
    <w:rsid w:val="00B46150"/>
    <w:rsid w:val="00B47075"/>
    <w:rsid w:val="00B520C9"/>
    <w:rsid w:val="00B55DB5"/>
    <w:rsid w:val="00B61A95"/>
    <w:rsid w:val="00B629A2"/>
    <w:rsid w:val="00B73E38"/>
    <w:rsid w:val="00B85A17"/>
    <w:rsid w:val="00B85EB0"/>
    <w:rsid w:val="00B91CC3"/>
    <w:rsid w:val="00BA0036"/>
    <w:rsid w:val="00BA150F"/>
    <w:rsid w:val="00BA57B0"/>
    <w:rsid w:val="00BC57C6"/>
    <w:rsid w:val="00BC754F"/>
    <w:rsid w:val="00BE57A6"/>
    <w:rsid w:val="00BE7059"/>
    <w:rsid w:val="00BF5F51"/>
    <w:rsid w:val="00C0572B"/>
    <w:rsid w:val="00C21AD6"/>
    <w:rsid w:val="00C247E6"/>
    <w:rsid w:val="00C256B9"/>
    <w:rsid w:val="00C27A8E"/>
    <w:rsid w:val="00C323BA"/>
    <w:rsid w:val="00C32907"/>
    <w:rsid w:val="00C6545A"/>
    <w:rsid w:val="00C71C1D"/>
    <w:rsid w:val="00C91658"/>
    <w:rsid w:val="00C92F89"/>
    <w:rsid w:val="00CA5509"/>
    <w:rsid w:val="00CB3CFB"/>
    <w:rsid w:val="00CB66AF"/>
    <w:rsid w:val="00CC0A77"/>
    <w:rsid w:val="00CC4E2B"/>
    <w:rsid w:val="00CC58B4"/>
    <w:rsid w:val="00CD5590"/>
    <w:rsid w:val="00CE3A97"/>
    <w:rsid w:val="00CE3F50"/>
    <w:rsid w:val="00CE5C50"/>
    <w:rsid w:val="00CF4D2A"/>
    <w:rsid w:val="00CF7010"/>
    <w:rsid w:val="00D014FC"/>
    <w:rsid w:val="00D01756"/>
    <w:rsid w:val="00D126B2"/>
    <w:rsid w:val="00D2385B"/>
    <w:rsid w:val="00D308A2"/>
    <w:rsid w:val="00D3267C"/>
    <w:rsid w:val="00D33D4E"/>
    <w:rsid w:val="00D40333"/>
    <w:rsid w:val="00D40718"/>
    <w:rsid w:val="00D42502"/>
    <w:rsid w:val="00D45D3D"/>
    <w:rsid w:val="00D46FD0"/>
    <w:rsid w:val="00D47424"/>
    <w:rsid w:val="00D550D3"/>
    <w:rsid w:val="00D6427C"/>
    <w:rsid w:val="00D65D9A"/>
    <w:rsid w:val="00D7117E"/>
    <w:rsid w:val="00D8377C"/>
    <w:rsid w:val="00D9015C"/>
    <w:rsid w:val="00D96128"/>
    <w:rsid w:val="00D96A6B"/>
    <w:rsid w:val="00DB16B3"/>
    <w:rsid w:val="00DB1932"/>
    <w:rsid w:val="00DB70FE"/>
    <w:rsid w:val="00DC74D0"/>
    <w:rsid w:val="00DD24AC"/>
    <w:rsid w:val="00DD40CD"/>
    <w:rsid w:val="00DD4BE1"/>
    <w:rsid w:val="00DD699D"/>
    <w:rsid w:val="00DE011F"/>
    <w:rsid w:val="00DF2DEE"/>
    <w:rsid w:val="00E00008"/>
    <w:rsid w:val="00E01A7F"/>
    <w:rsid w:val="00E02EC5"/>
    <w:rsid w:val="00E03E6E"/>
    <w:rsid w:val="00E11BCF"/>
    <w:rsid w:val="00E146E9"/>
    <w:rsid w:val="00E1522A"/>
    <w:rsid w:val="00E16D6E"/>
    <w:rsid w:val="00E20FDD"/>
    <w:rsid w:val="00E25A64"/>
    <w:rsid w:val="00E273F2"/>
    <w:rsid w:val="00E33E48"/>
    <w:rsid w:val="00E35CF8"/>
    <w:rsid w:val="00E46113"/>
    <w:rsid w:val="00E52322"/>
    <w:rsid w:val="00E64D85"/>
    <w:rsid w:val="00E655B0"/>
    <w:rsid w:val="00E6741D"/>
    <w:rsid w:val="00E74C55"/>
    <w:rsid w:val="00E76994"/>
    <w:rsid w:val="00E8382E"/>
    <w:rsid w:val="00E94EB4"/>
    <w:rsid w:val="00EA34DF"/>
    <w:rsid w:val="00EA407C"/>
    <w:rsid w:val="00EA4599"/>
    <w:rsid w:val="00EA6D8F"/>
    <w:rsid w:val="00EB4DE9"/>
    <w:rsid w:val="00EC2221"/>
    <w:rsid w:val="00EC5297"/>
    <w:rsid w:val="00EC6F5B"/>
    <w:rsid w:val="00ED5A70"/>
    <w:rsid w:val="00ED6DDA"/>
    <w:rsid w:val="00EF1E9A"/>
    <w:rsid w:val="00EF24EE"/>
    <w:rsid w:val="00F149A0"/>
    <w:rsid w:val="00F304B3"/>
    <w:rsid w:val="00F45BA0"/>
    <w:rsid w:val="00F517BC"/>
    <w:rsid w:val="00F733B5"/>
    <w:rsid w:val="00F77CD0"/>
    <w:rsid w:val="00F80A95"/>
    <w:rsid w:val="00F811D5"/>
    <w:rsid w:val="00F85254"/>
    <w:rsid w:val="00F97804"/>
    <w:rsid w:val="00FA4517"/>
    <w:rsid w:val="00FA521D"/>
    <w:rsid w:val="00FA5D3A"/>
    <w:rsid w:val="00FB0A1A"/>
    <w:rsid w:val="00FC0B46"/>
    <w:rsid w:val="00FD546B"/>
    <w:rsid w:val="00FD6B25"/>
    <w:rsid w:val="00FE021F"/>
    <w:rsid w:val="00FE26D5"/>
    <w:rsid w:val="00FE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4A4C"/>
  </w:style>
  <w:style w:type="paragraph" w:styleId="Nadpis1">
    <w:name w:val="heading 1"/>
    <w:basedOn w:val="Normlny"/>
    <w:next w:val="Normlny"/>
    <w:link w:val="Nadpis1Char"/>
    <w:uiPriority w:val="9"/>
    <w:qFormat/>
    <w:rsid w:val="008B4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B4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174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B4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B4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8028F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48028F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48028F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48028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28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370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3701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513701"/>
    <w:rPr>
      <w:vertAlign w:val="superscript"/>
    </w:rPr>
  </w:style>
  <w:style w:type="table" w:customStyle="1" w:styleId="Mriekatabuky2">
    <w:name w:val="Mriežka tabuľky2"/>
    <w:basedOn w:val="Normlnatabuka"/>
    <w:uiPriority w:val="59"/>
    <w:rsid w:val="0015174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2">
    <w:name w:val="Mriežka tabuľky22"/>
    <w:basedOn w:val="Normlnatabuka"/>
    <w:uiPriority w:val="59"/>
    <w:rsid w:val="000B14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5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0D3"/>
  </w:style>
  <w:style w:type="paragraph" w:styleId="Pta">
    <w:name w:val="footer"/>
    <w:basedOn w:val="Normlny"/>
    <w:link w:val="PtaChar"/>
    <w:uiPriority w:val="99"/>
    <w:unhideWhenUsed/>
    <w:rsid w:val="00D5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0D3"/>
  </w:style>
  <w:style w:type="character" w:styleId="slostrany">
    <w:name w:val="page number"/>
    <w:basedOn w:val="Predvolenpsmoodseku"/>
    <w:uiPriority w:val="99"/>
    <w:unhideWhenUsed/>
    <w:rsid w:val="00D550D3"/>
  </w:style>
  <w:style w:type="paragraph" w:styleId="Bezriadkovania">
    <w:name w:val="No Spacing"/>
    <w:uiPriority w:val="1"/>
    <w:qFormat/>
    <w:rsid w:val="00037759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8445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45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45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45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4576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70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FD6B25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D6B2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D6B25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D6B2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D6B25"/>
  </w:style>
  <w:style w:type="paragraph" w:styleId="Revzia">
    <w:name w:val="Revision"/>
    <w:hidden/>
    <w:uiPriority w:val="99"/>
    <w:semiHidden/>
    <w:rsid w:val="00D961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4A4C"/>
  </w:style>
  <w:style w:type="paragraph" w:styleId="Nadpis1">
    <w:name w:val="heading 1"/>
    <w:basedOn w:val="Normlny"/>
    <w:next w:val="Normlny"/>
    <w:link w:val="Nadpis1Char"/>
    <w:uiPriority w:val="9"/>
    <w:qFormat/>
    <w:rsid w:val="008B45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8B45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174C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8B45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8B45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48028F"/>
    <w:pPr>
      <w:outlineLvl w:val="9"/>
    </w:pPr>
    <w:rPr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48028F"/>
    <w:pPr>
      <w:spacing w:after="100"/>
    </w:pPr>
  </w:style>
  <w:style w:type="paragraph" w:styleId="Obsah2">
    <w:name w:val="toc 2"/>
    <w:basedOn w:val="Normlny"/>
    <w:next w:val="Normlny"/>
    <w:autoRedefine/>
    <w:uiPriority w:val="39"/>
    <w:unhideWhenUsed/>
    <w:rsid w:val="0048028F"/>
    <w:pPr>
      <w:spacing w:after="100"/>
      <w:ind w:left="220"/>
    </w:pPr>
  </w:style>
  <w:style w:type="character" w:styleId="Hypertextovprepojenie">
    <w:name w:val="Hyperlink"/>
    <w:basedOn w:val="Predvolenpsmoodseku"/>
    <w:uiPriority w:val="99"/>
    <w:unhideWhenUsed/>
    <w:rsid w:val="0048028F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028F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1370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13701"/>
    <w:rPr>
      <w:sz w:val="20"/>
      <w:szCs w:val="20"/>
    </w:rPr>
  </w:style>
  <w:style w:type="character" w:styleId="Odkaznapoznmkupodiarou">
    <w:name w:val="footnote reference"/>
    <w:basedOn w:val="Predvolenpsmoodseku"/>
    <w:semiHidden/>
    <w:rsid w:val="00513701"/>
    <w:rPr>
      <w:vertAlign w:val="superscript"/>
    </w:rPr>
  </w:style>
  <w:style w:type="table" w:customStyle="1" w:styleId="Mriekatabuky2">
    <w:name w:val="Mriežka tabuľky2"/>
    <w:basedOn w:val="Normlnatabuka"/>
    <w:uiPriority w:val="59"/>
    <w:rsid w:val="0015174D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22">
    <w:name w:val="Mriežka tabuľky22"/>
    <w:basedOn w:val="Normlnatabuka"/>
    <w:uiPriority w:val="59"/>
    <w:rsid w:val="000B14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D5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550D3"/>
  </w:style>
  <w:style w:type="paragraph" w:styleId="Pta">
    <w:name w:val="footer"/>
    <w:basedOn w:val="Normlny"/>
    <w:link w:val="PtaChar"/>
    <w:uiPriority w:val="99"/>
    <w:unhideWhenUsed/>
    <w:rsid w:val="00D55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550D3"/>
  </w:style>
  <w:style w:type="character" w:styleId="slostrany">
    <w:name w:val="page number"/>
    <w:basedOn w:val="Predvolenpsmoodseku"/>
    <w:uiPriority w:val="99"/>
    <w:unhideWhenUsed/>
    <w:rsid w:val="00D550D3"/>
  </w:style>
  <w:style w:type="paragraph" w:styleId="Bezriadkovania">
    <w:name w:val="No Spacing"/>
    <w:uiPriority w:val="1"/>
    <w:qFormat/>
    <w:rsid w:val="00037759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8445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45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45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445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44576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700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FD6B25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D6B2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D6B25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D6B2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D6B25"/>
  </w:style>
  <w:style w:type="paragraph" w:styleId="Revzia">
    <w:name w:val="Revision"/>
    <w:hidden/>
    <w:uiPriority w:val="99"/>
    <w:semiHidden/>
    <w:rsid w:val="00D961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inancnasprava.sk/index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nancnasprava.sk/sk/finsprava/statistiky/stats-clo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anti_fraud/investigations/report-fraud/index_sk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mailto:nezrovnalosti@vlada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E10FE-0C08-4EB3-8A09-E5DEC86D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20</Pages>
  <Words>6280</Words>
  <Characters>35797</Characters>
  <Application>Microsoft Office Word</Application>
  <DocSecurity>0</DocSecurity>
  <Lines>298</Lines>
  <Paragraphs>83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41994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Prievalská Tatiana</dc:creator>
  <cp:lastModifiedBy>Prievalská Tatiana</cp:lastModifiedBy>
  <cp:revision>25</cp:revision>
  <cp:lastPrinted>2013-04-30T09:06:00Z</cp:lastPrinted>
  <dcterms:created xsi:type="dcterms:W3CDTF">2013-04-29T10:58:00Z</dcterms:created>
  <dcterms:modified xsi:type="dcterms:W3CDTF">2013-04-30T12:58:00Z</dcterms:modified>
</cp:coreProperties>
</file>